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202</w:t>
      </w:r>
      <w:r>
        <w:rPr>
          <w:rFonts w:hint="eastAsia" w:ascii="仿宋_GB2312" w:hAnsi="宋体" w:eastAsia="仿宋_GB2312"/>
          <w:sz w:val="28"/>
          <w:szCs w:val="28"/>
          <w:lang w:val="en-US" w:eastAsia="zh-CN"/>
        </w:rPr>
        <w:t>4</w:t>
      </w:r>
      <w:r>
        <w:rPr>
          <w:rFonts w:ascii="仿宋_GB2312" w:hAnsi="宋体" w:eastAsia="仿宋_GB2312"/>
          <w:sz w:val="28"/>
          <w:szCs w:val="28"/>
        </w:rPr>
        <w:t xml:space="preserve"> </w:t>
      </w:r>
      <w:r>
        <w:rPr>
          <w:rFonts w:hint="eastAsia" w:ascii="仿宋_GB2312" w:hAnsi="宋体" w:eastAsia="仿宋_GB2312"/>
          <w:sz w:val="28"/>
          <w:szCs w:val="28"/>
        </w:rPr>
        <w:t xml:space="preserve"> 年度）</w:t>
      </w:r>
    </w:p>
    <w:p>
      <w:pPr>
        <w:spacing w:line="240" w:lineRule="exact"/>
        <w:rPr>
          <w:rFonts w:ascii="仿宋_GB2312" w:hAnsi="宋体" w:eastAsia="仿宋_GB2312"/>
          <w:sz w:val="30"/>
          <w:szCs w:val="30"/>
        </w:rPr>
      </w:pPr>
    </w:p>
    <w:tbl>
      <w:tblPr>
        <w:tblStyle w:val="5"/>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北京市农业资源区划与农业绿色发展监测评价试点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jc w:val="center"/>
        </w:trPr>
        <w:tc>
          <w:tcPr>
            <w:tcW w:w="1560"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themeColor="text1"/>
                <w:kern w:val="0"/>
                <w:sz w:val="21"/>
                <w:szCs w:val="21"/>
                <w14:textFill>
                  <w14:solidFill>
                    <w14:schemeClr w14:val="tx1"/>
                  </w14:solidFill>
                </w14:textFill>
              </w:rPr>
              <w:t>北京市农村经济研究中心</w:t>
            </w:r>
          </w:p>
        </w:tc>
        <w:tc>
          <w:tcPr>
            <w:tcW w:w="1127"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color w:val="000000" w:themeColor="text1"/>
                <w:kern w:val="0"/>
                <w:sz w:val="21"/>
                <w:szCs w:val="21"/>
                <w14:textFill>
                  <w14:solidFill>
                    <w14:schemeClr w14:val="tx1"/>
                  </w14:solidFill>
                </w14:textFill>
              </w:rPr>
              <w:t>北京市农村经济研究中心</w:t>
            </w:r>
            <w:r>
              <w:rPr>
                <w:rFonts w:hint="eastAsia" w:ascii="仿宋_GB2312" w:hAnsi="宋体" w:eastAsia="仿宋_GB2312" w:cs="宋体"/>
                <w:color w:val="000000" w:themeColor="text1"/>
                <w:kern w:val="0"/>
                <w:sz w:val="21"/>
                <w:szCs w:val="21"/>
                <w:lang w:eastAsia="zh-CN"/>
                <w14:textFill>
                  <w14:solidFill>
                    <w14:schemeClr w14:val="tx1"/>
                  </w14:solidFill>
                </w14:textFill>
              </w:rPr>
              <w:t>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jc w:val="center"/>
        </w:trPr>
        <w:tc>
          <w:tcPr>
            <w:tcW w:w="1560" w:type="dxa"/>
            <w:gridSpan w:val="2"/>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27"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l2br w:val="nil"/>
              <w:tr2bl w:val="nil"/>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l2br w:val="nil"/>
              <w:tr2bl w:val="nil"/>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85.3960</w:t>
            </w:r>
          </w:p>
        </w:tc>
        <w:tc>
          <w:tcPr>
            <w:tcW w:w="1132"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85.30194</w:t>
            </w:r>
          </w:p>
        </w:tc>
        <w:tc>
          <w:tcPr>
            <w:tcW w:w="1127"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85.30194</w:t>
            </w:r>
          </w:p>
        </w:tc>
        <w:tc>
          <w:tcPr>
            <w:tcW w:w="70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bookmarkStart w:id="0" w:name="_GoBack"/>
            <w:bookmarkEnd w:id="0"/>
          </w:p>
        </w:tc>
        <w:tc>
          <w:tcPr>
            <w:tcW w:w="710" w:type="dxa"/>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60"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l2br w:val="nil"/>
              <w:tr2bl w:val="nil"/>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85.3960</w:t>
            </w:r>
          </w:p>
        </w:tc>
        <w:tc>
          <w:tcPr>
            <w:tcW w:w="1132"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85.30194</w:t>
            </w:r>
          </w:p>
        </w:tc>
        <w:tc>
          <w:tcPr>
            <w:tcW w:w="1127"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85.30194</w:t>
            </w:r>
          </w:p>
        </w:tc>
        <w:tc>
          <w:tcPr>
            <w:tcW w:w="70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710"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l2br w:val="nil"/>
              <w:tr2bl w:val="nil"/>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132" w:type="dxa"/>
            <w:gridSpan w:val="2"/>
            <w:tcBorders>
              <w:tl2br w:val="nil"/>
              <w:tr2bl w:val="nil"/>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710"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l2br w:val="nil"/>
              <w:tr2bl w:val="nil"/>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1132" w:type="dxa"/>
            <w:gridSpan w:val="2"/>
            <w:tcBorders>
              <w:tl2br w:val="nil"/>
              <w:tr2bl w:val="nil"/>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0</w:t>
            </w:r>
          </w:p>
        </w:tc>
        <w:tc>
          <w:tcPr>
            <w:tcW w:w="1127"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710"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1" w:hRule="exact"/>
          <w:jc w:val="center"/>
        </w:trPr>
        <w:tc>
          <w:tcPr>
            <w:tcW w:w="58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5066" w:type="dxa"/>
            <w:gridSpan w:val="6"/>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面向新时代都市型现代农业的北京市农业资源区划及其应用（基于农业资源本底数据，分析各区资源环境及农业生产特点，开展农业资源适宜性评价，分析农业资源高效利用方向和路径，优化重点区域的都市型现代 农业发展区域布局）；（2）北京市国家重要农业资源台账建设试点；（3）北京市国家农业绿色发展先行区监测与评价（4）开展零碳村试点示范（5）参加全国农业资源区划、农业绿色发展相关学术交流、考察、培训活动。</w:t>
            </w:r>
          </w:p>
        </w:tc>
        <w:tc>
          <w:tcPr>
            <w:tcW w:w="3387" w:type="dxa"/>
            <w:gridSpan w:val="7"/>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全部完成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585"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exact"/>
          <w:jc w:val="center"/>
        </w:trPr>
        <w:tc>
          <w:tcPr>
            <w:tcW w:w="58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产出指标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50分）</w:t>
            </w:r>
          </w:p>
        </w:tc>
        <w:tc>
          <w:tcPr>
            <w:tcW w:w="1105"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l2br w:val="nil"/>
              <w:tr2bl w:val="nil"/>
            </w:tcBorders>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指标1：《北京市都市型现代农业优化布局研究报告》1部</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国家重要农业资源台账试点建设数据汇总与评价报告1篇；</w:t>
            </w:r>
            <w:r>
              <w:rPr>
                <w:rFonts w:hint="eastAsia" w:ascii="仿宋_GB2312" w:hAnsi="宋体" w:eastAsia="仿宋_GB2312" w:cs="宋体"/>
                <w:color w:val="000000"/>
                <w:kern w:val="0"/>
                <w:szCs w:val="21"/>
                <w:highlight w:val="none"/>
              </w:rPr>
              <w:t>《北京市国家农业绿色发展先行区农业绿色发展评价报告》1篇</w:t>
            </w:r>
            <w:r>
              <w:rPr>
                <w:rFonts w:hint="eastAsia" w:ascii="仿宋_GB2312" w:hAnsi="宋体" w:eastAsia="仿宋_GB2312" w:cs="宋体"/>
                <w:color w:val="000000"/>
                <w:kern w:val="0"/>
                <w:szCs w:val="21"/>
                <w:highlight w:val="none"/>
                <w:lang w:eastAsia="zh-CN"/>
              </w:rPr>
              <w:t>；</w:t>
            </w:r>
            <w:r>
              <w:rPr>
                <w:rFonts w:hint="eastAsia" w:ascii="仿宋_GB2312" w:hAnsi="宋体" w:eastAsia="仿宋_GB2312" w:cs="宋体"/>
                <w:color w:val="000000"/>
                <w:kern w:val="0"/>
                <w:szCs w:val="21"/>
              </w:rPr>
              <w:t>零碳村试点示范方案1套</w:t>
            </w:r>
          </w:p>
        </w:tc>
        <w:tc>
          <w:tcPr>
            <w:tcW w:w="849" w:type="dxa"/>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848" w:type="dxa"/>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141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exact"/>
          <w:jc w:val="center"/>
        </w:trPr>
        <w:tc>
          <w:tcPr>
            <w:tcW w:w="58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l2br w:val="nil"/>
              <w:tr2bl w:val="nil"/>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指标1：课题研究顺利通过专家验收</w:t>
            </w:r>
          </w:p>
        </w:tc>
        <w:tc>
          <w:tcPr>
            <w:tcW w:w="849"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优</w:t>
            </w:r>
          </w:p>
        </w:tc>
        <w:tc>
          <w:tcPr>
            <w:tcW w:w="848"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exact"/>
          <w:jc w:val="center"/>
        </w:trPr>
        <w:tc>
          <w:tcPr>
            <w:tcW w:w="58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l2br w:val="nil"/>
              <w:tr2bl w:val="nil"/>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指标2：报告专家评价打分</w:t>
            </w:r>
          </w:p>
        </w:tc>
        <w:tc>
          <w:tcPr>
            <w:tcW w:w="849" w:type="dxa"/>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高于</w:t>
            </w:r>
            <w:r>
              <w:rPr>
                <w:rFonts w:hint="eastAsia" w:ascii="仿宋_GB2312" w:hAnsi="宋体" w:eastAsia="仿宋_GB2312" w:cs="宋体"/>
                <w:kern w:val="0"/>
                <w:szCs w:val="21"/>
                <w:lang w:val="en-US" w:eastAsia="zh-CN"/>
              </w:rPr>
              <w:t>90</w:t>
            </w:r>
          </w:p>
        </w:tc>
        <w:tc>
          <w:tcPr>
            <w:tcW w:w="848" w:type="dxa"/>
            <w:tcBorders>
              <w:tl2br w:val="nil"/>
              <w:tr2bl w:val="nil"/>
            </w:tcBorders>
            <w:vAlign w:val="center"/>
          </w:tcPr>
          <w:p>
            <w:pPr>
              <w:widowControl/>
              <w:tabs>
                <w:tab w:val="left" w:pos="211"/>
              </w:tabs>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highlight w:val="none"/>
                <w:lang w:eastAsia="zh-CN"/>
              </w:rPr>
              <w:tab/>
            </w:r>
            <w:r>
              <w:rPr>
                <w:rFonts w:hint="eastAsia" w:ascii="仿宋_GB2312" w:hAnsi="宋体" w:eastAsia="仿宋_GB2312" w:cs="宋体"/>
                <w:kern w:val="0"/>
                <w:szCs w:val="21"/>
                <w:highlight w:val="none"/>
                <w:lang w:val="en-US" w:eastAsia="zh-CN"/>
              </w:rPr>
              <w:t>95</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exact"/>
          <w:jc w:val="center"/>
        </w:trPr>
        <w:tc>
          <w:tcPr>
            <w:tcW w:w="58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1105"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l2br w:val="nil"/>
              <w:tr2bl w:val="nil"/>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指标1：12月底前完成</w:t>
            </w:r>
          </w:p>
        </w:tc>
        <w:tc>
          <w:tcPr>
            <w:tcW w:w="849"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优</w:t>
            </w:r>
          </w:p>
        </w:tc>
        <w:tc>
          <w:tcPr>
            <w:tcW w:w="848"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63" w:type="dxa"/>
            <w:gridSpan w:val="2"/>
            <w:tcBorders>
              <w:tl2br w:val="nil"/>
              <w:tr2bl w:val="nil"/>
            </w:tcBorders>
            <w:vAlign w:val="center"/>
          </w:tcPr>
          <w:p>
            <w:pPr>
              <w:widowControl/>
              <w:tabs>
                <w:tab w:val="left" w:pos="332"/>
              </w:tabs>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9" w:hRule="exact"/>
          <w:jc w:val="center"/>
        </w:trPr>
        <w:tc>
          <w:tcPr>
            <w:tcW w:w="58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75"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成本指标（</w:t>
            </w:r>
            <w:r>
              <w:rPr>
                <w:rFonts w:hint="eastAsia" w:ascii="仿宋_GB2312" w:hAnsi="宋体" w:eastAsia="仿宋_GB2312" w:cs="宋体"/>
                <w:kern w:val="0"/>
                <w:szCs w:val="21"/>
                <w:lang w:val="en-US" w:eastAsia="zh-CN"/>
              </w:rPr>
              <w:t>10分</w:t>
            </w:r>
            <w:r>
              <w:rPr>
                <w:rFonts w:hint="eastAsia" w:ascii="仿宋_GB2312" w:hAnsi="宋体" w:eastAsia="仿宋_GB2312" w:cs="宋体"/>
                <w:kern w:val="0"/>
                <w:szCs w:val="21"/>
                <w:lang w:eastAsia="zh-CN"/>
              </w:rPr>
              <w:t>）</w:t>
            </w:r>
          </w:p>
        </w:tc>
        <w:tc>
          <w:tcPr>
            <w:tcW w:w="1105"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eastAsia="zh-CN"/>
              </w:rPr>
              <w:t>经济</w:t>
            </w:r>
            <w:r>
              <w:rPr>
                <w:rFonts w:hint="eastAsia" w:ascii="仿宋_GB2312" w:hAnsi="宋体" w:eastAsia="仿宋_GB2312" w:cs="宋体"/>
                <w:kern w:val="0"/>
                <w:szCs w:val="21"/>
              </w:rPr>
              <w:t>成本指标</w:t>
            </w:r>
          </w:p>
        </w:tc>
        <w:tc>
          <w:tcPr>
            <w:tcW w:w="2137" w:type="dxa"/>
            <w:gridSpan w:val="3"/>
            <w:tcBorders>
              <w:tl2br w:val="nil"/>
              <w:tr2bl w:val="nil"/>
            </w:tcBorders>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ab/>
            </w:r>
            <w:r>
              <w:rPr>
                <w:rFonts w:hint="eastAsia" w:ascii="仿宋_GB2312" w:hAnsi="宋体" w:eastAsia="仿宋_GB2312" w:cs="宋体"/>
                <w:color w:val="000000"/>
                <w:kern w:val="0"/>
                <w:szCs w:val="21"/>
                <w:lang w:eastAsia="zh-CN"/>
              </w:rPr>
              <w:t>严格按照财政预算执行</w:t>
            </w:r>
          </w:p>
        </w:tc>
        <w:tc>
          <w:tcPr>
            <w:tcW w:w="849" w:type="dxa"/>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85.3960</w:t>
            </w:r>
          </w:p>
        </w:tc>
        <w:tc>
          <w:tcPr>
            <w:tcW w:w="848" w:type="dxa"/>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85.30194</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w:t>
            </w:r>
          </w:p>
        </w:tc>
        <w:tc>
          <w:tcPr>
            <w:tcW w:w="141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eastAsia="zh-CN"/>
              </w:rPr>
              <w:t>邮寄图书资料费用比预算减少</w:t>
            </w:r>
            <w:r>
              <w:rPr>
                <w:rFonts w:hint="eastAsia" w:ascii="仿宋_GB2312" w:hAnsi="宋体" w:eastAsia="仿宋_GB2312" w:cs="宋体"/>
                <w:kern w:val="0"/>
                <w:szCs w:val="21"/>
                <w:lang w:val="en-US" w:eastAsia="zh-CN"/>
              </w:rPr>
              <w:t>268.6元；劳务费比预算减少672元。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exact"/>
          <w:jc w:val="center"/>
        </w:trPr>
        <w:tc>
          <w:tcPr>
            <w:tcW w:w="58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75"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效益指标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20分</w:t>
            </w:r>
            <w:r>
              <w:rPr>
                <w:rFonts w:hint="eastAsia" w:ascii="仿宋_GB2312" w:hAnsi="宋体" w:eastAsia="仿宋_GB2312" w:cs="宋体"/>
                <w:kern w:val="0"/>
                <w:szCs w:val="21"/>
                <w:lang w:eastAsia="zh-CN"/>
              </w:rPr>
              <w:t>）</w:t>
            </w:r>
          </w:p>
        </w:tc>
        <w:tc>
          <w:tcPr>
            <w:tcW w:w="1105"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l2br w:val="nil"/>
              <w:tr2bl w:val="nil"/>
            </w:tcBorders>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ab/>
            </w:r>
            <w:r>
              <w:rPr>
                <w:rFonts w:hint="eastAsia" w:ascii="仿宋_GB2312" w:hAnsi="宋体" w:eastAsia="仿宋_GB2312" w:cs="宋体"/>
                <w:color w:val="000000"/>
                <w:kern w:val="0"/>
                <w:szCs w:val="21"/>
                <w:lang w:eastAsia="zh-CN"/>
              </w:rPr>
              <w:t>为北京市率先基本实现农业农村现代化提供基础支撑</w:t>
            </w:r>
          </w:p>
        </w:tc>
        <w:tc>
          <w:tcPr>
            <w:tcW w:w="849"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848"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18</w:t>
            </w:r>
          </w:p>
        </w:tc>
        <w:tc>
          <w:tcPr>
            <w:tcW w:w="141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直接或间接受益对象、服务单位的满意度调查不广泛，代表性不足。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exact"/>
          <w:jc w:val="center"/>
        </w:trPr>
        <w:tc>
          <w:tcPr>
            <w:tcW w:w="585" w:type="dxa"/>
            <w:vMerge w:val="continue"/>
            <w:tcBorders>
              <w:tl2br w:val="nil"/>
              <w:tr2bl w:val="nil"/>
            </w:tcBorders>
            <w:vAlign w:val="center"/>
          </w:tcPr>
          <w:p>
            <w:pPr>
              <w:widowControl/>
              <w:spacing w:line="240" w:lineRule="exact"/>
              <w:jc w:val="center"/>
              <w:rPr>
                <w:rFonts w:ascii="仿宋_GB2312" w:hAnsi="宋体" w:eastAsia="仿宋_GB2312" w:cs="宋体"/>
                <w:kern w:val="0"/>
                <w:szCs w:val="21"/>
              </w:rPr>
            </w:pPr>
          </w:p>
        </w:tc>
        <w:tc>
          <w:tcPr>
            <w:tcW w:w="975"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指标</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10分</w:t>
            </w:r>
            <w:r>
              <w:rPr>
                <w:rFonts w:hint="eastAsia" w:ascii="仿宋_GB2312" w:hAnsi="宋体" w:eastAsia="仿宋_GB2312" w:cs="宋体"/>
                <w:kern w:val="0"/>
                <w:szCs w:val="21"/>
                <w:lang w:eastAsia="zh-CN"/>
              </w:rPr>
              <w:t>）</w:t>
            </w:r>
          </w:p>
        </w:tc>
        <w:tc>
          <w:tcPr>
            <w:tcW w:w="1105" w:type="dxa"/>
            <w:tcBorders>
              <w:tl2br w:val="nil"/>
              <w:tr2bl w:val="nil"/>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eastAsia="zh-CN"/>
              </w:rPr>
              <w:t>指</w:t>
            </w:r>
            <w:r>
              <w:rPr>
                <w:rFonts w:hint="eastAsia" w:ascii="仿宋_GB2312" w:hAnsi="宋体" w:eastAsia="仿宋_GB2312" w:cs="宋体"/>
                <w:kern w:val="0"/>
                <w:szCs w:val="21"/>
              </w:rPr>
              <w:t>标</w:t>
            </w:r>
          </w:p>
        </w:tc>
        <w:tc>
          <w:tcPr>
            <w:tcW w:w="2137" w:type="dxa"/>
            <w:gridSpan w:val="3"/>
            <w:tcBorders>
              <w:tl2br w:val="nil"/>
              <w:tr2bl w:val="nil"/>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指标1：农业资源区划行政管理部门和相关区级主管部门满意度评价良好以上</w:t>
            </w:r>
          </w:p>
        </w:tc>
        <w:tc>
          <w:tcPr>
            <w:tcW w:w="849"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良好以上</w:t>
            </w:r>
          </w:p>
        </w:tc>
        <w:tc>
          <w:tcPr>
            <w:tcW w:w="848" w:type="dxa"/>
            <w:tcBorders>
              <w:tl2br w:val="nil"/>
              <w:tr2bl w:val="nil"/>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优</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499" w:type="dxa"/>
            <w:gridSpan w:val="8"/>
            <w:tcBorders>
              <w:tl2br w:val="nil"/>
              <w:tr2bl w:val="nil"/>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563" w:type="dxa"/>
            <w:gridSpan w:val="2"/>
            <w:tcBorders>
              <w:tl2br w:val="nil"/>
              <w:tr2bl w:val="nil"/>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96</w:t>
            </w:r>
          </w:p>
        </w:tc>
        <w:tc>
          <w:tcPr>
            <w:tcW w:w="1413" w:type="dxa"/>
            <w:gridSpan w:val="2"/>
            <w:tcBorders>
              <w:tl2br w:val="nil"/>
              <w:tr2bl w:val="nil"/>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spacing w:line="520" w:lineRule="exact"/>
        <w:ind w:firstLine="420" w:firstLineChars="200"/>
        <w:rPr>
          <w:rFonts w:hint="eastAsia"/>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77F09F4"/>
    <w:rsid w:val="003A2F34"/>
    <w:rsid w:val="003B230E"/>
    <w:rsid w:val="005144BD"/>
    <w:rsid w:val="0055115B"/>
    <w:rsid w:val="00674D8E"/>
    <w:rsid w:val="006C3546"/>
    <w:rsid w:val="007D3315"/>
    <w:rsid w:val="009963DF"/>
    <w:rsid w:val="009A20EB"/>
    <w:rsid w:val="00A55148"/>
    <w:rsid w:val="00AB1224"/>
    <w:rsid w:val="00B52D8D"/>
    <w:rsid w:val="00F169A2"/>
    <w:rsid w:val="00F55688"/>
    <w:rsid w:val="00F85C32"/>
    <w:rsid w:val="0C5C5097"/>
    <w:rsid w:val="0EF3C8E9"/>
    <w:rsid w:val="13EEB86D"/>
    <w:rsid w:val="17A01ED1"/>
    <w:rsid w:val="1DFF3E97"/>
    <w:rsid w:val="1F9C2B8B"/>
    <w:rsid w:val="1FFBE3DA"/>
    <w:rsid w:val="1FFFDE30"/>
    <w:rsid w:val="217F342E"/>
    <w:rsid w:val="21DFF901"/>
    <w:rsid w:val="23AA2F9F"/>
    <w:rsid w:val="25FF38EC"/>
    <w:rsid w:val="2DB7471E"/>
    <w:rsid w:val="2F7F83C0"/>
    <w:rsid w:val="2F9EC338"/>
    <w:rsid w:val="2FD78C7D"/>
    <w:rsid w:val="2FFECC94"/>
    <w:rsid w:val="31FF20A3"/>
    <w:rsid w:val="32EDDE4F"/>
    <w:rsid w:val="33BF5929"/>
    <w:rsid w:val="33FA7B0D"/>
    <w:rsid w:val="35AFFDB7"/>
    <w:rsid w:val="35FFDA71"/>
    <w:rsid w:val="35FFE35E"/>
    <w:rsid w:val="37173543"/>
    <w:rsid w:val="373F4F66"/>
    <w:rsid w:val="37AD7ACD"/>
    <w:rsid w:val="37FB2945"/>
    <w:rsid w:val="37FD6805"/>
    <w:rsid w:val="37FFCED7"/>
    <w:rsid w:val="38EE55D0"/>
    <w:rsid w:val="39FF4D9F"/>
    <w:rsid w:val="3B5F646C"/>
    <w:rsid w:val="3BFFEC54"/>
    <w:rsid w:val="3CDFBF6A"/>
    <w:rsid w:val="3CFC8BD0"/>
    <w:rsid w:val="3D32D222"/>
    <w:rsid w:val="3DD794C6"/>
    <w:rsid w:val="3DFB4269"/>
    <w:rsid w:val="3EA61E3D"/>
    <w:rsid w:val="3ED7BACA"/>
    <w:rsid w:val="3F07A459"/>
    <w:rsid w:val="3F1F10E8"/>
    <w:rsid w:val="3F295FF7"/>
    <w:rsid w:val="3F57ED6B"/>
    <w:rsid w:val="3F5E7294"/>
    <w:rsid w:val="3F7BD248"/>
    <w:rsid w:val="3F7F9FDE"/>
    <w:rsid w:val="3FF76880"/>
    <w:rsid w:val="3FFD96AC"/>
    <w:rsid w:val="3FFE6E88"/>
    <w:rsid w:val="439D08D5"/>
    <w:rsid w:val="4AEBBE5E"/>
    <w:rsid w:val="4DB7B369"/>
    <w:rsid w:val="4DDF2B7F"/>
    <w:rsid w:val="4ECFECE2"/>
    <w:rsid w:val="4F2F98E9"/>
    <w:rsid w:val="4F37F4F2"/>
    <w:rsid w:val="4FEB3876"/>
    <w:rsid w:val="52A9D63E"/>
    <w:rsid w:val="53FE2C60"/>
    <w:rsid w:val="54FA4514"/>
    <w:rsid w:val="54FF7C5C"/>
    <w:rsid w:val="576B7495"/>
    <w:rsid w:val="59DFA680"/>
    <w:rsid w:val="5ABF7E82"/>
    <w:rsid w:val="5B7D535B"/>
    <w:rsid w:val="5BF3FF25"/>
    <w:rsid w:val="5BFC4A37"/>
    <w:rsid w:val="5C77BDE1"/>
    <w:rsid w:val="5E8EAEEF"/>
    <w:rsid w:val="5EBF750C"/>
    <w:rsid w:val="5EBF85A5"/>
    <w:rsid w:val="5EEB9B41"/>
    <w:rsid w:val="5EFFCE0C"/>
    <w:rsid w:val="5F9E44D8"/>
    <w:rsid w:val="5FAFC688"/>
    <w:rsid w:val="5FBA96D6"/>
    <w:rsid w:val="5FBF34BA"/>
    <w:rsid w:val="5FC5B648"/>
    <w:rsid w:val="5FFB785C"/>
    <w:rsid w:val="5FFECA82"/>
    <w:rsid w:val="5FFF01BB"/>
    <w:rsid w:val="615F5F98"/>
    <w:rsid w:val="62DF6351"/>
    <w:rsid w:val="637903E3"/>
    <w:rsid w:val="637F19D5"/>
    <w:rsid w:val="63ADCA3F"/>
    <w:rsid w:val="63E502FC"/>
    <w:rsid w:val="63E60952"/>
    <w:rsid w:val="67789753"/>
    <w:rsid w:val="67D50801"/>
    <w:rsid w:val="6A8FEC71"/>
    <w:rsid w:val="6AC730FB"/>
    <w:rsid w:val="6AFFAC84"/>
    <w:rsid w:val="6B1BFC29"/>
    <w:rsid w:val="6B770226"/>
    <w:rsid w:val="6BFBF64E"/>
    <w:rsid w:val="6C4BC8B1"/>
    <w:rsid w:val="6D6957E1"/>
    <w:rsid w:val="6D715CB5"/>
    <w:rsid w:val="6DBD375A"/>
    <w:rsid w:val="6DDF63F0"/>
    <w:rsid w:val="6DFB5622"/>
    <w:rsid w:val="6E59B8F0"/>
    <w:rsid w:val="6E7B0CB9"/>
    <w:rsid w:val="6E7B3D30"/>
    <w:rsid w:val="6E7D7BD6"/>
    <w:rsid w:val="6EDDB80E"/>
    <w:rsid w:val="6EDFEF80"/>
    <w:rsid w:val="6EFF4CA4"/>
    <w:rsid w:val="6F5DE199"/>
    <w:rsid w:val="6F7F241B"/>
    <w:rsid w:val="6FBA3426"/>
    <w:rsid w:val="6FBDDA66"/>
    <w:rsid w:val="6FCF4174"/>
    <w:rsid w:val="6FD759AB"/>
    <w:rsid w:val="6FF6C824"/>
    <w:rsid w:val="6FFFC1A3"/>
    <w:rsid w:val="707FB753"/>
    <w:rsid w:val="707FD2FB"/>
    <w:rsid w:val="71BE2858"/>
    <w:rsid w:val="739D27BB"/>
    <w:rsid w:val="749FAE7C"/>
    <w:rsid w:val="7596858A"/>
    <w:rsid w:val="75DD7829"/>
    <w:rsid w:val="75F81450"/>
    <w:rsid w:val="75FDA8ED"/>
    <w:rsid w:val="75FE260B"/>
    <w:rsid w:val="75FF2867"/>
    <w:rsid w:val="75FF3878"/>
    <w:rsid w:val="763B481A"/>
    <w:rsid w:val="76FBAB22"/>
    <w:rsid w:val="76FFB848"/>
    <w:rsid w:val="77686C54"/>
    <w:rsid w:val="77AF8DBA"/>
    <w:rsid w:val="77B3B496"/>
    <w:rsid w:val="77B61125"/>
    <w:rsid w:val="77FCF47A"/>
    <w:rsid w:val="77FD772F"/>
    <w:rsid w:val="77FFA871"/>
    <w:rsid w:val="782B1DF1"/>
    <w:rsid w:val="78FDE7B9"/>
    <w:rsid w:val="79B49A4B"/>
    <w:rsid w:val="79F8EAE1"/>
    <w:rsid w:val="79FA00BA"/>
    <w:rsid w:val="79FF3105"/>
    <w:rsid w:val="7AB7FF50"/>
    <w:rsid w:val="7AFBDC73"/>
    <w:rsid w:val="7B37BA32"/>
    <w:rsid w:val="7BBB168C"/>
    <w:rsid w:val="7BBD7EBA"/>
    <w:rsid w:val="7BBF22B2"/>
    <w:rsid w:val="7BD85212"/>
    <w:rsid w:val="7BDE00BF"/>
    <w:rsid w:val="7BEE54C9"/>
    <w:rsid w:val="7BFEB0DB"/>
    <w:rsid w:val="7C6F3FE2"/>
    <w:rsid w:val="7D4FD614"/>
    <w:rsid w:val="7D7F8730"/>
    <w:rsid w:val="7DEA8005"/>
    <w:rsid w:val="7DF72845"/>
    <w:rsid w:val="7DFC308A"/>
    <w:rsid w:val="7E97E0D4"/>
    <w:rsid w:val="7EBA01F6"/>
    <w:rsid w:val="7EDB623C"/>
    <w:rsid w:val="7EEC0178"/>
    <w:rsid w:val="7EFBBC14"/>
    <w:rsid w:val="7EFE3928"/>
    <w:rsid w:val="7F1F3972"/>
    <w:rsid w:val="7F3F32BC"/>
    <w:rsid w:val="7F67919F"/>
    <w:rsid w:val="7F6FB554"/>
    <w:rsid w:val="7F773FE2"/>
    <w:rsid w:val="7F79C0EB"/>
    <w:rsid w:val="7F7BA0D5"/>
    <w:rsid w:val="7F7FF622"/>
    <w:rsid w:val="7F8F43FD"/>
    <w:rsid w:val="7FAEA8EC"/>
    <w:rsid w:val="7FAF57EB"/>
    <w:rsid w:val="7FB69144"/>
    <w:rsid w:val="7FBBA52B"/>
    <w:rsid w:val="7FBD5E57"/>
    <w:rsid w:val="7FBE0578"/>
    <w:rsid w:val="7FBF5F94"/>
    <w:rsid w:val="7FBF8497"/>
    <w:rsid w:val="7FCF7418"/>
    <w:rsid w:val="7FD8F8B5"/>
    <w:rsid w:val="7FDB8411"/>
    <w:rsid w:val="7FDDD465"/>
    <w:rsid w:val="7FDEEAB4"/>
    <w:rsid w:val="7FE73B60"/>
    <w:rsid w:val="7FEE68F8"/>
    <w:rsid w:val="7FEF362F"/>
    <w:rsid w:val="7FEF919F"/>
    <w:rsid w:val="7FEFFE63"/>
    <w:rsid w:val="7FF26425"/>
    <w:rsid w:val="7FF83AD8"/>
    <w:rsid w:val="7FFB01F7"/>
    <w:rsid w:val="7FFB384A"/>
    <w:rsid w:val="7FFB4018"/>
    <w:rsid w:val="7FFD96E0"/>
    <w:rsid w:val="7FFDFAB7"/>
    <w:rsid w:val="7FFDFC62"/>
    <w:rsid w:val="7FFE06EB"/>
    <w:rsid w:val="7FFEF1E7"/>
    <w:rsid w:val="7FFF0628"/>
    <w:rsid w:val="8BF7CA14"/>
    <w:rsid w:val="8DD76F6D"/>
    <w:rsid w:val="92E3CE17"/>
    <w:rsid w:val="93BF4748"/>
    <w:rsid w:val="93EFE68E"/>
    <w:rsid w:val="94CF1ACC"/>
    <w:rsid w:val="98799B00"/>
    <w:rsid w:val="98DD5EA2"/>
    <w:rsid w:val="9EDD70BC"/>
    <w:rsid w:val="9EEDC59A"/>
    <w:rsid w:val="9FEC63FB"/>
    <w:rsid w:val="9FF6BD6E"/>
    <w:rsid w:val="9FFF5460"/>
    <w:rsid w:val="A0F751B2"/>
    <w:rsid w:val="A3EFEAAD"/>
    <w:rsid w:val="A57E3769"/>
    <w:rsid w:val="A5FCDEF8"/>
    <w:rsid w:val="A6EF5ACA"/>
    <w:rsid w:val="ABFBB10C"/>
    <w:rsid w:val="AF7BA5A9"/>
    <w:rsid w:val="AFAFE087"/>
    <w:rsid w:val="B3D7B6B4"/>
    <w:rsid w:val="B3DD8241"/>
    <w:rsid w:val="B3F7ECD0"/>
    <w:rsid w:val="B3F9C1B3"/>
    <w:rsid w:val="B4BB2736"/>
    <w:rsid w:val="B4EB42BA"/>
    <w:rsid w:val="B527A281"/>
    <w:rsid w:val="B5DFEF05"/>
    <w:rsid w:val="B5F895B7"/>
    <w:rsid w:val="B6E3AF4A"/>
    <w:rsid w:val="B6ED0087"/>
    <w:rsid w:val="B6FF0FA2"/>
    <w:rsid w:val="BA3FA570"/>
    <w:rsid w:val="BA7E199C"/>
    <w:rsid w:val="BAF7B3B7"/>
    <w:rsid w:val="BB85F9C1"/>
    <w:rsid w:val="BB9AD07C"/>
    <w:rsid w:val="BBB7CD28"/>
    <w:rsid w:val="BCDF10F5"/>
    <w:rsid w:val="BCFE2B44"/>
    <w:rsid w:val="BD1C058F"/>
    <w:rsid w:val="BD3E334F"/>
    <w:rsid w:val="BD971E5C"/>
    <w:rsid w:val="BDEB48BD"/>
    <w:rsid w:val="BDFEC0EA"/>
    <w:rsid w:val="BE376DE6"/>
    <w:rsid w:val="BE7A1A22"/>
    <w:rsid w:val="BEBB63AD"/>
    <w:rsid w:val="BEBF2EE6"/>
    <w:rsid w:val="BEF5AA0E"/>
    <w:rsid w:val="BF1F244B"/>
    <w:rsid w:val="BF3B8110"/>
    <w:rsid w:val="BFBD71D9"/>
    <w:rsid w:val="BFBF78E7"/>
    <w:rsid w:val="BFCC8B8D"/>
    <w:rsid w:val="BFEB47BB"/>
    <w:rsid w:val="BFEFF182"/>
    <w:rsid w:val="BFF2FBE4"/>
    <w:rsid w:val="BFF766D7"/>
    <w:rsid w:val="BFFBD61A"/>
    <w:rsid w:val="C73E307F"/>
    <w:rsid w:val="C77B07D8"/>
    <w:rsid w:val="C79984CE"/>
    <w:rsid w:val="CBEF4820"/>
    <w:rsid w:val="CCFAE566"/>
    <w:rsid w:val="CCFF0DDB"/>
    <w:rsid w:val="CEFD3F3D"/>
    <w:rsid w:val="CF7365A2"/>
    <w:rsid w:val="CF7FF534"/>
    <w:rsid w:val="D2D78CE3"/>
    <w:rsid w:val="D4751A4A"/>
    <w:rsid w:val="D5F39A51"/>
    <w:rsid w:val="D6BACD00"/>
    <w:rsid w:val="D6D75931"/>
    <w:rsid w:val="D7396443"/>
    <w:rsid w:val="D73F659A"/>
    <w:rsid w:val="D76B0596"/>
    <w:rsid w:val="D7F5B30C"/>
    <w:rsid w:val="D7FFD2F5"/>
    <w:rsid w:val="D8FFEF93"/>
    <w:rsid w:val="DABE6950"/>
    <w:rsid w:val="DBFEAD58"/>
    <w:rsid w:val="DBFF7EEF"/>
    <w:rsid w:val="DD3FA75F"/>
    <w:rsid w:val="DDBDADCC"/>
    <w:rsid w:val="DDBFD09B"/>
    <w:rsid w:val="DDDF8491"/>
    <w:rsid w:val="DDFDBD3E"/>
    <w:rsid w:val="DE5DCEFC"/>
    <w:rsid w:val="DE7798A4"/>
    <w:rsid w:val="DE7FE5F4"/>
    <w:rsid w:val="DEFDB48F"/>
    <w:rsid w:val="DF2BA49E"/>
    <w:rsid w:val="DF6BCC11"/>
    <w:rsid w:val="DF6D9027"/>
    <w:rsid w:val="DFA2FBF8"/>
    <w:rsid w:val="DFAD729C"/>
    <w:rsid w:val="DFD7E0D7"/>
    <w:rsid w:val="DFDEEB14"/>
    <w:rsid w:val="DFDFCF9C"/>
    <w:rsid w:val="DFE3C69B"/>
    <w:rsid w:val="DFEB6BFB"/>
    <w:rsid w:val="DFF506F6"/>
    <w:rsid w:val="DFF91D5E"/>
    <w:rsid w:val="DFFF2D63"/>
    <w:rsid w:val="E177CA15"/>
    <w:rsid w:val="E47AF19F"/>
    <w:rsid w:val="E65B20C5"/>
    <w:rsid w:val="E6DFAC36"/>
    <w:rsid w:val="E6FF943C"/>
    <w:rsid w:val="E8FFFD0A"/>
    <w:rsid w:val="EA3F77F2"/>
    <w:rsid w:val="EAD90544"/>
    <w:rsid w:val="EAFBB21A"/>
    <w:rsid w:val="EBC72DCE"/>
    <w:rsid w:val="EBF6B214"/>
    <w:rsid w:val="EDFF21DF"/>
    <w:rsid w:val="EE2E9D2D"/>
    <w:rsid w:val="EE9D5C25"/>
    <w:rsid w:val="EEDF4094"/>
    <w:rsid w:val="EEDFF8B6"/>
    <w:rsid w:val="EEFE5989"/>
    <w:rsid w:val="EFCF3EAE"/>
    <w:rsid w:val="EFCF989E"/>
    <w:rsid w:val="EFEF4F23"/>
    <w:rsid w:val="EFF92EDF"/>
    <w:rsid w:val="EFFF8C30"/>
    <w:rsid w:val="F1E6987A"/>
    <w:rsid w:val="F2A6A67C"/>
    <w:rsid w:val="F32F5ADD"/>
    <w:rsid w:val="F36E1CC3"/>
    <w:rsid w:val="F37704F7"/>
    <w:rsid w:val="F3B76B02"/>
    <w:rsid w:val="F3BFD239"/>
    <w:rsid w:val="F3DFA015"/>
    <w:rsid w:val="F4695207"/>
    <w:rsid w:val="F47DF65A"/>
    <w:rsid w:val="F56EEDFA"/>
    <w:rsid w:val="F5B764A2"/>
    <w:rsid w:val="F5CC9BE3"/>
    <w:rsid w:val="F77F09F4"/>
    <w:rsid w:val="F7AABB18"/>
    <w:rsid w:val="F7E540DF"/>
    <w:rsid w:val="F7E6730F"/>
    <w:rsid w:val="F7EFD3BA"/>
    <w:rsid w:val="F97F0D3C"/>
    <w:rsid w:val="F97FA8A6"/>
    <w:rsid w:val="F9F7BE0E"/>
    <w:rsid w:val="FA8EB026"/>
    <w:rsid w:val="FAAFA788"/>
    <w:rsid w:val="FAB5A2E2"/>
    <w:rsid w:val="FAB75137"/>
    <w:rsid w:val="FABEC583"/>
    <w:rsid w:val="FAFF40D4"/>
    <w:rsid w:val="FB5F6432"/>
    <w:rsid w:val="FB77C50C"/>
    <w:rsid w:val="FB7CAB18"/>
    <w:rsid w:val="FB96E86C"/>
    <w:rsid w:val="FB9FB093"/>
    <w:rsid w:val="FBCFFCB6"/>
    <w:rsid w:val="FBE635D1"/>
    <w:rsid w:val="FBFFFE7E"/>
    <w:rsid w:val="FC67BE95"/>
    <w:rsid w:val="FC9B5DD7"/>
    <w:rsid w:val="FCE6B7E3"/>
    <w:rsid w:val="FCFD6A8F"/>
    <w:rsid w:val="FD276616"/>
    <w:rsid w:val="FD675B05"/>
    <w:rsid w:val="FD748622"/>
    <w:rsid w:val="FD75B79C"/>
    <w:rsid w:val="FD79DB47"/>
    <w:rsid w:val="FDD26443"/>
    <w:rsid w:val="FDD9CF97"/>
    <w:rsid w:val="FDF6B817"/>
    <w:rsid w:val="FDF931D9"/>
    <w:rsid w:val="FDFBE2BE"/>
    <w:rsid w:val="FDFCC6EA"/>
    <w:rsid w:val="FDFE1AA3"/>
    <w:rsid w:val="FDFF7C15"/>
    <w:rsid w:val="FDFFD9F2"/>
    <w:rsid w:val="FE6D0A6D"/>
    <w:rsid w:val="FE7FD691"/>
    <w:rsid w:val="FE8FB6A3"/>
    <w:rsid w:val="FEA7B54C"/>
    <w:rsid w:val="FEB5220D"/>
    <w:rsid w:val="FEBD1002"/>
    <w:rsid w:val="FED18B47"/>
    <w:rsid w:val="FEEB7566"/>
    <w:rsid w:val="FEF9DBD9"/>
    <w:rsid w:val="FEFE9B58"/>
    <w:rsid w:val="FEFF3F1C"/>
    <w:rsid w:val="FEFF6027"/>
    <w:rsid w:val="FEFFA224"/>
    <w:rsid w:val="FF4BFCA5"/>
    <w:rsid w:val="FF5E2B8E"/>
    <w:rsid w:val="FF7989D9"/>
    <w:rsid w:val="FF7A09EF"/>
    <w:rsid w:val="FF7EB333"/>
    <w:rsid w:val="FF9B595E"/>
    <w:rsid w:val="FFAF6E89"/>
    <w:rsid w:val="FFB527CB"/>
    <w:rsid w:val="FFBBED53"/>
    <w:rsid w:val="FFCB8705"/>
    <w:rsid w:val="FFD5597E"/>
    <w:rsid w:val="FFD7BFFC"/>
    <w:rsid w:val="FFD85D4B"/>
    <w:rsid w:val="FFDF10E6"/>
    <w:rsid w:val="FFE5BE9B"/>
    <w:rsid w:val="FFED6318"/>
    <w:rsid w:val="FFEF01CC"/>
    <w:rsid w:val="FFEFD0BF"/>
    <w:rsid w:val="FFF3B26C"/>
    <w:rsid w:val="FFF7EDC2"/>
    <w:rsid w:val="FFFA235E"/>
    <w:rsid w:val="FFFD3FCA"/>
    <w:rsid w:val="FFFD5121"/>
    <w:rsid w:val="FFFE7CFC"/>
    <w:rsid w:val="FFFF0A3B"/>
    <w:rsid w:val="FFFFA5AF"/>
    <w:rsid w:val="FFFFE701"/>
    <w:rsid w:val="FFFFFB29"/>
    <w:rsid w:val="FFFFF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165</Words>
  <Characters>945</Characters>
  <Lines>7</Lines>
  <Paragraphs>2</Paragraphs>
  <TotalTime>0</TotalTime>
  <ScaleCrop>false</ScaleCrop>
  <LinksUpToDate>false</LinksUpToDate>
  <CharactersWithSpaces>1108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2022-04-03T08:24:00Z</dcterms:created>
  <dc:creator>user</dc:creator>
  <cp:lastModifiedBy>nyncj</cp:lastModifiedBy>
  <cp:lastPrinted>2022-04-20T07:08:00Z</cp:lastPrinted>
  <dcterms:modified xsi:type="dcterms:W3CDTF">2025-08-22T15:20:40Z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