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line="560" w:lineRule="exact"/>
        <w:ind w:firstLine="963" w:firstLineChars="200"/>
        <w:jc w:val="center"/>
        <w:rPr>
          <w:rFonts w:ascii="仿宋_GB2312" w:eastAsia="黑体"/>
          <w:b/>
          <w:bCs/>
          <w:sz w:val="48"/>
          <w:szCs w:val="48"/>
        </w:rPr>
      </w:pPr>
    </w:p>
    <w:p>
      <w:pPr>
        <w:spacing w:after="240" w:line="560" w:lineRule="exact"/>
        <w:ind w:firstLine="963" w:firstLineChars="200"/>
        <w:jc w:val="center"/>
        <w:rPr>
          <w:rFonts w:ascii="仿宋_GB2312" w:eastAsia="黑体"/>
          <w:b/>
          <w:bCs/>
          <w:sz w:val="48"/>
          <w:szCs w:val="48"/>
        </w:rPr>
      </w:pPr>
    </w:p>
    <w:p>
      <w:pPr>
        <w:spacing w:after="312" w:line="560" w:lineRule="exact"/>
        <w:ind w:firstLine="880" w:firstLineChars="200"/>
        <w:jc w:val="center"/>
        <w:rPr>
          <w:rFonts w:ascii="方正小标宋简体" w:hAnsi="Leelawadee UI" w:eastAsia="方正小标宋简体"/>
          <w:bCs/>
          <w:kern w:val="0"/>
          <w:sz w:val="44"/>
          <w:szCs w:val="28"/>
        </w:rPr>
      </w:pPr>
      <w:r>
        <w:rPr>
          <w:rFonts w:hint="eastAsia" w:ascii="方正小标宋简体" w:hAnsi="Leelawadee UI" w:eastAsia="方正小标宋简体"/>
          <w:bCs/>
          <w:kern w:val="0"/>
          <w:sz w:val="44"/>
          <w:szCs w:val="28"/>
        </w:rPr>
        <w:t>北京市市级财政支出项目</w:t>
      </w:r>
    </w:p>
    <w:p>
      <w:pPr>
        <w:spacing w:after="312" w:line="560" w:lineRule="exact"/>
        <w:ind w:firstLine="880" w:firstLineChars="200"/>
        <w:jc w:val="center"/>
        <w:rPr>
          <w:rFonts w:ascii="方正小标宋简体" w:hAnsi="Leelawadee UI" w:eastAsia="方正小标宋简体"/>
          <w:bCs/>
          <w:kern w:val="0"/>
          <w:sz w:val="44"/>
          <w:szCs w:val="28"/>
        </w:rPr>
      </w:pPr>
      <w:r>
        <w:rPr>
          <w:rFonts w:hint="eastAsia" w:ascii="方正小标宋简体" w:hAnsi="Leelawadee UI" w:eastAsia="方正小标宋简体"/>
          <w:bCs/>
          <w:kern w:val="0"/>
          <w:sz w:val="44"/>
          <w:szCs w:val="28"/>
        </w:rPr>
        <w:t>绩效评价报告</w:t>
      </w:r>
    </w:p>
    <w:p>
      <w:pPr>
        <w:spacing w:after="240" w:line="560" w:lineRule="exact"/>
        <w:ind w:firstLine="842" w:firstLineChars="200"/>
        <w:jc w:val="center"/>
        <w:rPr>
          <w:rFonts w:hint="eastAsia" w:ascii="宋体" w:hAnsi="宋体" w:eastAsia="宋体"/>
          <w:b/>
          <w:bCs/>
          <w:spacing w:val="50"/>
          <w:sz w:val="32"/>
          <w:szCs w:val="32"/>
          <w:lang w:val="en-US" w:eastAsia="zh-CN"/>
        </w:rPr>
      </w:pPr>
      <w:bookmarkStart w:id="44" w:name="_GoBack"/>
      <w:bookmarkEnd w:id="44"/>
    </w:p>
    <w:p>
      <w:pPr>
        <w:snapToGrid w:val="0"/>
        <w:spacing w:after="312" w:line="560" w:lineRule="exact"/>
        <w:ind w:firstLine="722" w:firstLineChars="200"/>
        <w:rPr>
          <w:rFonts w:eastAsia="仿宋_GB2312"/>
          <w:b/>
          <w:bCs/>
          <w:sz w:val="36"/>
          <w:szCs w:val="20"/>
        </w:rPr>
      </w:pPr>
    </w:p>
    <w:p>
      <w:pPr>
        <w:snapToGrid w:val="0"/>
        <w:spacing w:after="312" w:line="560" w:lineRule="exact"/>
        <w:ind w:firstLine="722" w:firstLineChars="200"/>
        <w:rPr>
          <w:rFonts w:eastAsia="仿宋_GB2312"/>
          <w:b/>
          <w:bCs/>
          <w:sz w:val="36"/>
          <w:szCs w:val="20"/>
        </w:rPr>
      </w:pPr>
    </w:p>
    <w:p>
      <w:pPr>
        <w:spacing w:after="312" w:line="560" w:lineRule="exact"/>
        <w:ind w:firstLine="640" w:firstLineChars="200"/>
        <w:rPr>
          <w:rFonts w:hint="eastAsia" w:ascii="仿宋_GB2312" w:hAnsi="宋体" w:eastAsia="仿宋_GB2312"/>
          <w:bCs/>
          <w:kern w:val="0"/>
          <w:sz w:val="32"/>
          <w:szCs w:val="28"/>
        </w:rPr>
      </w:pPr>
      <w:r>
        <w:rPr>
          <w:rFonts w:hint="eastAsia" w:ascii="仿宋_GB2312" w:hAnsi="宋体" w:eastAsia="仿宋_GB2312"/>
          <w:bCs/>
          <w:kern w:val="0"/>
          <w:sz w:val="32"/>
          <w:szCs w:val="28"/>
        </w:rPr>
        <w:t>主管部门</w:t>
      </w:r>
      <w:r>
        <w:rPr>
          <w:rFonts w:hint="eastAsia" w:ascii="仿宋_GB2312" w:hAnsi="宋体" w:eastAsia="仿宋_GB2312"/>
          <w:bCs/>
          <w:kern w:val="0"/>
          <w:sz w:val="32"/>
          <w:szCs w:val="28"/>
          <w:u w:val="single"/>
        </w:rPr>
        <w:t xml:space="preserve">         北京市农村经济研究中心             </w:t>
      </w:r>
    </w:p>
    <w:p>
      <w:pPr>
        <w:spacing w:after="312" w:line="560" w:lineRule="exact"/>
        <w:ind w:firstLine="640" w:firstLineChars="200"/>
        <w:rPr>
          <w:rFonts w:hint="eastAsia" w:ascii="仿宋_GB2312" w:hAnsi="宋体" w:eastAsia="仿宋_GB2312"/>
          <w:bCs/>
          <w:kern w:val="0"/>
          <w:sz w:val="32"/>
          <w:szCs w:val="28"/>
        </w:rPr>
      </w:pPr>
      <w:r>
        <w:rPr>
          <w:rFonts w:hint="eastAsia" w:ascii="仿宋_GB2312" w:hAnsi="宋体" w:eastAsia="仿宋_GB2312"/>
          <w:bCs/>
          <w:kern w:val="0"/>
          <w:sz w:val="32"/>
          <w:szCs w:val="28"/>
        </w:rPr>
        <w:t>项目单位</w:t>
      </w:r>
      <w:r>
        <w:rPr>
          <w:rFonts w:hint="eastAsia" w:ascii="仿宋_GB2312" w:hAnsi="宋体" w:eastAsia="仿宋_GB2312"/>
          <w:bCs/>
          <w:kern w:val="0"/>
          <w:sz w:val="32"/>
          <w:szCs w:val="28"/>
          <w:u w:val="single"/>
        </w:rPr>
        <w:t xml:space="preserve">      </w:t>
      </w:r>
      <w:r>
        <w:rPr>
          <w:rFonts w:ascii="仿宋_GB2312" w:hAnsi="宋体" w:eastAsia="仿宋_GB2312"/>
          <w:bCs/>
          <w:kern w:val="0"/>
          <w:sz w:val="32"/>
          <w:szCs w:val="28"/>
          <w:u w:val="single"/>
        </w:rPr>
        <w:t xml:space="preserve"> </w:t>
      </w:r>
      <w:r>
        <w:rPr>
          <w:rFonts w:hint="eastAsia" w:ascii="仿宋_GB2312" w:hAnsi="宋体" w:eastAsia="仿宋_GB2312"/>
          <w:bCs/>
          <w:kern w:val="0"/>
          <w:sz w:val="32"/>
          <w:szCs w:val="28"/>
          <w:u w:val="single"/>
        </w:rPr>
        <w:t xml:space="preserve">北京市农村经济研究中心机关           </w:t>
      </w:r>
    </w:p>
    <w:p>
      <w:pPr>
        <w:spacing w:after="312" w:line="560" w:lineRule="exact"/>
        <w:ind w:firstLine="640" w:firstLineChars="200"/>
        <w:rPr>
          <w:rFonts w:hint="eastAsia" w:ascii="仿宋_GB2312" w:hAnsi="宋体" w:eastAsia="仿宋_GB2312"/>
          <w:bCs/>
          <w:kern w:val="0"/>
          <w:sz w:val="32"/>
          <w:szCs w:val="28"/>
        </w:rPr>
      </w:pPr>
      <w:r>
        <w:rPr>
          <w:rFonts w:hint="eastAsia" w:ascii="仿宋_GB2312" w:hAnsi="宋体" w:eastAsia="仿宋_GB2312"/>
          <w:bCs/>
          <w:kern w:val="0"/>
          <w:sz w:val="32"/>
          <w:szCs w:val="28"/>
        </w:rPr>
        <w:t>项目名称</w:t>
      </w:r>
      <w:r>
        <w:rPr>
          <w:rFonts w:hint="eastAsia" w:ascii="仿宋_GB2312" w:hAnsi="宋体" w:eastAsia="仿宋_GB2312"/>
          <w:bCs/>
          <w:kern w:val="0"/>
          <w:sz w:val="32"/>
          <w:szCs w:val="28"/>
          <w:u w:val="single"/>
        </w:rPr>
        <w:t xml:space="preserve">  北京郊区100个村集体经济运行状况跟踪监测  </w:t>
      </w:r>
    </w:p>
    <w:p>
      <w:pPr>
        <w:pStyle w:val="23"/>
        <w:spacing w:line="560" w:lineRule="exact"/>
        <w:ind w:left="1470" w:right="1470" w:firstLine="420" w:firstLineChars="200"/>
      </w:pPr>
    </w:p>
    <w:p>
      <w:pPr>
        <w:spacing w:after="312" w:line="560" w:lineRule="exact"/>
        <w:ind w:firstLine="640" w:firstLineChars="200"/>
        <w:rPr>
          <w:rFonts w:hint="eastAsia" w:ascii="仿宋_GB2312" w:hAnsi="宋体" w:eastAsia="仿宋_GB2312"/>
          <w:bCs/>
          <w:kern w:val="0"/>
          <w:sz w:val="32"/>
          <w:szCs w:val="28"/>
        </w:rPr>
      </w:pPr>
    </w:p>
    <w:p>
      <w:pPr>
        <w:spacing w:line="560" w:lineRule="exact"/>
        <w:ind w:firstLine="642" w:firstLineChars="200"/>
        <w:jc w:val="center"/>
        <w:rPr>
          <w:rFonts w:ascii="黑体" w:eastAsia="黑体"/>
          <w:b/>
          <w:sz w:val="32"/>
          <w:szCs w:val="20"/>
        </w:rPr>
      </w:pPr>
    </w:p>
    <w:p>
      <w:pPr>
        <w:pStyle w:val="23"/>
        <w:spacing w:line="560" w:lineRule="exact"/>
        <w:ind w:left="1470" w:right="1470" w:firstLine="420" w:firstLineChars="200"/>
      </w:pPr>
    </w:p>
    <w:p>
      <w:pPr>
        <w:spacing w:line="560" w:lineRule="exact"/>
        <w:ind w:firstLine="642" w:firstLineChars="200"/>
        <w:jc w:val="center"/>
        <w:rPr>
          <w:rFonts w:ascii="黑体" w:eastAsia="黑体"/>
          <w:b/>
          <w:sz w:val="32"/>
          <w:szCs w:val="20"/>
        </w:rPr>
      </w:pPr>
    </w:p>
    <w:p>
      <w:pPr>
        <w:spacing w:line="560" w:lineRule="exact"/>
        <w:ind w:firstLine="642" w:firstLineChars="200"/>
        <w:jc w:val="center"/>
        <w:rPr>
          <w:rFonts w:ascii="黑体" w:eastAsia="黑体"/>
          <w:b/>
          <w:sz w:val="32"/>
          <w:szCs w:val="20"/>
        </w:rPr>
      </w:pPr>
      <w:r>
        <w:rPr>
          <w:rFonts w:hint="eastAsia" w:ascii="黑体" w:eastAsia="黑体"/>
          <w:b/>
          <w:sz w:val="32"/>
          <w:szCs w:val="20"/>
        </w:rPr>
        <w:t>2025年5月</w:t>
      </w:r>
    </w:p>
    <w:p>
      <w:pPr>
        <w:spacing w:line="560" w:lineRule="exact"/>
        <w:ind w:firstLine="642" w:firstLineChars="200"/>
        <w:rPr>
          <w:rFonts w:ascii="黑体" w:eastAsia="黑体"/>
          <w:b/>
          <w:sz w:val="32"/>
          <w:szCs w:val="20"/>
        </w:rPr>
      </w:pPr>
      <w:r>
        <w:rPr>
          <w:rFonts w:hint="eastAsia" w:ascii="黑体" w:eastAsia="黑体"/>
          <w:b/>
          <w:sz w:val="32"/>
          <w:szCs w:val="20"/>
        </w:rPr>
        <w:br w:type="page"/>
      </w:r>
    </w:p>
    <w:p>
      <w:pPr>
        <w:spacing w:line="560" w:lineRule="exact"/>
        <w:ind w:firstLine="880" w:firstLineChars="200"/>
        <w:jc w:val="center"/>
        <w:rPr>
          <w:rFonts w:ascii="方正小标宋简体" w:eastAsia="方正小标宋简体"/>
          <w:sz w:val="44"/>
          <w:szCs w:val="44"/>
        </w:rPr>
      </w:pPr>
      <w:r>
        <w:rPr>
          <w:rFonts w:ascii="仿宋_GB2312" w:eastAsia="仿宋_GB2312"/>
          <w:sz w:val="44"/>
          <w:szCs w:val="44"/>
          <w:lang w:val="zh-CN"/>
        </w:rPr>
        <w:t>目</w:t>
      </w:r>
      <w:r>
        <w:rPr>
          <w:rFonts w:hint="eastAsia" w:ascii="仿宋_GB2312" w:eastAsia="仿宋_GB2312"/>
          <w:sz w:val="44"/>
          <w:szCs w:val="44"/>
          <w:lang w:val="zh-CN"/>
        </w:rPr>
        <w:t xml:space="preserve">  </w:t>
      </w:r>
      <w:r>
        <w:rPr>
          <w:rFonts w:ascii="仿宋_GB2312" w:eastAsia="仿宋_GB2312"/>
          <w:sz w:val="44"/>
          <w:szCs w:val="44"/>
          <w:lang w:val="zh-CN"/>
        </w:rPr>
        <w:t>录</w:t>
      </w:r>
    </w:p>
    <w:p>
      <w:pPr>
        <w:pStyle w:val="10"/>
        <w:tabs>
          <w:tab w:val="right" w:leader="dot" w:pos="8845"/>
        </w:tabs>
        <w:spacing w:line="560" w:lineRule="exact"/>
        <w:ind w:firstLine="421" w:firstLineChars="150"/>
        <w:rPr>
          <w:rFonts w:hint="eastAsia" w:ascii="仿宋_GB2312" w:hAnsi="仿宋_GB2312" w:eastAsia="仿宋_GB2312" w:cs="仿宋_GB2312"/>
          <w:sz w:val="28"/>
          <w:szCs w:val="28"/>
        </w:rPr>
      </w:pPr>
      <w:r>
        <w:rPr>
          <w:rStyle w:val="25"/>
          <w:rFonts w:hint="eastAsia" w:ascii="仿宋_GB2312" w:hAnsi="仿宋_GB2312" w:eastAsia="仿宋_GB2312" w:cs="仿宋_GB2312"/>
          <w:b/>
          <w:sz w:val="28"/>
          <w:szCs w:val="28"/>
        </w:rPr>
        <w:fldChar w:fldCharType="begin"/>
      </w:r>
      <w:r>
        <w:rPr>
          <w:rStyle w:val="25"/>
          <w:rFonts w:hint="eastAsia" w:ascii="仿宋_GB2312" w:hAnsi="仿宋_GB2312" w:eastAsia="仿宋_GB2312" w:cs="仿宋_GB2312"/>
          <w:b/>
          <w:bCs/>
          <w:kern w:val="0"/>
          <w:sz w:val="28"/>
          <w:szCs w:val="28"/>
        </w:rPr>
        <w:instrText xml:space="preserve"> TOC \o "1-3" \h \z \u </w:instrText>
      </w:r>
      <w:r>
        <w:rPr>
          <w:rStyle w:val="25"/>
          <w:rFonts w:hint="eastAsia" w:ascii="仿宋_GB2312" w:hAnsi="仿宋_GB2312" w:eastAsia="仿宋_GB2312" w:cs="仿宋_GB2312"/>
          <w:b/>
          <w:sz w:val="28"/>
          <w:szCs w:val="28"/>
        </w:rPr>
        <w:fldChar w:fldCharType="separate"/>
      </w:r>
      <w:r>
        <w:fldChar w:fldCharType="begin"/>
      </w:r>
      <w:r>
        <w:instrText xml:space="preserve"> HYPERLINK \l "_Toc19236" </w:instrText>
      </w:r>
      <w:r>
        <w:fldChar w:fldCharType="separate"/>
      </w:r>
      <w:r>
        <w:rPr>
          <w:rFonts w:hint="eastAsia" w:ascii="仿宋_GB2312" w:hAnsi="仿宋_GB2312" w:eastAsia="仿宋_GB2312" w:cs="仿宋_GB2312"/>
          <w:b/>
          <w:kern w:val="0"/>
          <w:sz w:val="28"/>
          <w:szCs w:val="28"/>
        </w:rPr>
        <w:t>一、基本情况</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_Toc19236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1</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pStyle w:val="12"/>
        <w:tabs>
          <w:tab w:val="right" w:leader="dot" w:pos="8845"/>
        </w:tabs>
        <w:spacing w:line="560" w:lineRule="exact"/>
        <w:ind w:firstLine="420" w:firstLineChars="200"/>
        <w:rPr>
          <w:rFonts w:hint="eastAsia" w:ascii="仿宋_GB2312" w:hAnsi="仿宋_GB2312" w:eastAsia="仿宋_GB2312" w:cs="仿宋_GB2312"/>
          <w:sz w:val="28"/>
          <w:szCs w:val="28"/>
        </w:rPr>
      </w:pPr>
      <w:r>
        <w:fldChar w:fldCharType="begin"/>
      </w:r>
      <w:r>
        <w:instrText xml:space="preserve"> HYPERLINK \l "_Toc20754" </w:instrText>
      </w:r>
      <w:r>
        <w:fldChar w:fldCharType="separate"/>
      </w:r>
      <w:r>
        <w:rPr>
          <w:rFonts w:hint="eastAsia" w:ascii="仿宋_GB2312" w:hAnsi="仿宋_GB2312" w:eastAsia="仿宋_GB2312" w:cs="仿宋_GB2312"/>
          <w:bCs/>
          <w:sz w:val="28"/>
          <w:szCs w:val="28"/>
        </w:rPr>
        <w:t>（一）项目概况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_Toc20754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2"/>
        <w:tabs>
          <w:tab w:val="right" w:leader="dot" w:pos="8845"/>
        </w:tabs>
        <w:spacing w:line="560" w:lineRule="exact"/>
        <w:ind w:firstLine="420" w:firstLineChars="200"/>
        <w:rPr>
          <w:rFonts w:hint="eastAsia" w:ascii="仿宋_GB2312" w:hAnsi="仿宋_GB2312" w:eastAsia="仿宋_GB2312" w:cs="仿宋_GB2312"/>
          <w:sz w:val="28"/>
          <w:szCs w:val="28"/>
        </w:rPr>
      </w:pPr>
      <w:r>
        <w:fldChar w:fldCharType="begin"/>
      </w:r>
      <w:r>
        <w:instrText xml:space="preserve"> HYPERLINK \l "_Toc23785" </w:instrText>
      </w:r>
      <w:r>
        <w:fldChar w:fldCharType="separate"/>
      </w:r>
      <w:r>
        <w:rPr>
          <w:rFonts w:hint="eastAsia" w:ascii="仿宋_GB2312" w:hAnsi="仿宋_GB2312" w:eastAsia="仿宋_GB2312" w:cs="仿宋_GB2312"/>
          <w:sz w:val="28"/>
          <w:szCs w:val="28"/>
        </w:rPr>
        <w:t>（二）项目绩效目标</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_Toc23785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0"/>
        <w:tabs>
          <w:tab w:val="right" w:leader="dot" w:pos="8845"/>
        </w:tabs>
        <w:spacing w:line="560" w:lineRule="exact"/>
        <w:ind w:firstLine="420" w:firstLineChars="200"/>
        <w:rPr>
          <w:rFonts w:hint="eastAsia" w:ascii="仿宋_GB2312" w:hAnsi="仿宋_GB2312" w:eastAsia="仿宋_GB2312" w:cs="仿宋_GB2312"/>
          <w:b/>
          <w:sz w:val="28"/>
          <w:szCs w:val="28"/>
        </w:rPr>
      </w:pPr>
      <w:r>
        <w:fldChar w:fldCharType="begin"/>
      </w:r>
      <w:r>
        <w:instrText xml:space="preserve"> HYPERLINK \l "_Toc26737" </w:instrText>
      </w:r>
      <w:r>
        <w:fldChar w:fldCharType="separate"/>
      </w:r>
      <w:r>
        <w:rPr>
          <w:rFonts w:hint="eastAsia" w:ascii="仿宋_GB2312" w:hAnsi="仿宋_GB2312" w:eastAsia="仿宋_GB2312" w:cs="仿宋_GB2312"/>
          <w:b/>
          <w:kern w:val="0"/>
          <w:sz w:val="28"/>
          <w:szCs w:val="28"/>
          <w:lang w:eastAsia="zh-Hans"/>
        </w:rPr>
        <w:t>二、绩效评价工作开展情况</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_Toc26737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4</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pStyle w:val="12"/>
        <w:tabs>
          <w:tab w:val="right" w:leader="dot" w:pos="8845"/>
        </w:tabs>
        <w:spacing w:line="560" w:lineRule="exact"/>
        <w:ind w:firstLine="420" w:firstLineChars="200"/>
        <w:rPr>
          <w:rFonts w:hint="eastAsia" w:ascii="仿宋_GB2312" w:hAnsi="仿宋_GB2312" w:eastAsia="仿宋_GB2312" w:cs="仿宋_GB2312"/>
          <w:sz w:val="28"/>
          <w:szCs w:val="28"/>
        </w:rPr>
      </w:pPr>
      <w:r>
        <w:fldChar w:fldCharType="begin"/>
      </w:r>
      <w:r>
        <w:instrText xml:space="preserve"> HYPERLINK \l "_Toc24805" </w:instrText>
      </w:r>
      <w:r>
        <w:fldChar w:fldCharType="separate"/>
      </w:r>
      <w:r>
        <w:rPr>
          <w:rFonts w:hint="eastAsia" w:ascii="仿宋_GB2312" w:hAnsi="仿宋_GB2312" w:eastAsia="仿宋_GB2312" w:cs="仿宋_GB2312"/>
          <w:bCs/>
          <w:sz w:val="28"/>
          <w:szCs w:val="28"/>
        </w:rPr>
        <w:t>（一）绩效评价目的、对象和范围</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_Toc24805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2"/>
        <w:tabs>
          <w:tab w:val="right" w:leader="dot" w:pos="8845"/>
        </w:tabs>
        <w:spacing w:line="560" w:lineRule="exact"/>
        <w:ind w:firstLine="420" w:firstLineChars="200"/>
        <w:rPr>
          <w:rFonts w:hint="eastAsia" w:ascii="仿宋_GB2312" w:hAnsi="仿宋_GB2312" w:eastAsia="仿宋_GB2312" w:cs="仿宋_GB2312"/>
          <w:sz w:val="28"/>
          <w:szCs w:val="28"/>
        </w:rPr>
      </w:pPr>
      <w:r>
        <w:fldChar w:fldCharType="begin"/>
      </w:r>
      <w:r>
        <w:instrText xml:space="preserve"> HYPERLINK \l "_Toc28119" </w:instrText>
      </w:r>
      <w:r>
        <w:fldChar w:fldCharType="separate"/>
      </w:r>
      <w:r>
        <w:rPr>
          <w:rFonts w:hint="eastAsia" w:ascii="仿宋_GB2312" w:hAnsi="仿宋_GB2312" w:eastAsia="仿宋_GB2312" w:cs="仿宋_GB2312"/>
          <w:kern w:val="0"/>
          <w:sz w:val="28"/>
          <w:szCs w:val="28"/>
        </w:rPr>
        <w:t>（二）绩效评价原则、评价指标体系、评价方法和评价标准</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_Toc28119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2"/>
        <w:tabs>
          <w:tab w:val="right" w:leader="dot" w:pos="8845"/>
        </w:tabs>
        <w:spacing w:line="560" w:lineRule="exact"/>
        <w:ind w:firstLine="420" w:firstLineChars="200"/>
        <w:rPr>
          <w:rFonts w:hint="eastAsia" w:ascii="仿宋_GB2312" w:hAnsi="仿宋_GB2312" w:eastAsia="仿宋_GB2312" w:cs="仿宋_GB2312"/>
          <w:sz w:val="28"/>
          <w:szCs w:val="28"/>
        </w:rPr>
      </w:pPr>
      <w:r>
        <w:fldChar w:fldCharType="begin"/>
      </w:r>
      <w:r>
        <w:instrText xml:space="preserve"> HYPERLINK \l "_Toc19907" </w:instrText>
      </w:r>
      <w:r>
        <w:fldChar w:fldCharType="separate"/>
      </w:r>
      <w:r>
        <w:rPr>
          <w:rFonts w:hint="eastAsia" w:ascii="仿宋_GB2312" w:hAnsi="仿宋_GB2312" w:eastAsia="仿宋_GB2312" w:cs="仿宋_GB2312"/>
          <w:kern w:val="0"/>
          <w:sz w:val="28"/>
          <w:szCs w:val="28"/>
        </w:rPr>
        <w:t>（三）绩效评价工作过程</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_Toc19907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0"/>
        <w:tabs>
          <w:tab w:val="right" w:leader="dot" w:pos="8845"/>
        </w:tabs>
        <w:spacing w:line="560" w:lineRule="exact"/>
        <w:ind w:firstLine="420" w:firstLineChars="200"/>
        <w:rPr>
          <w:rFonts w:hint="eastAsia" w:ascii="仿宋_GB2312" w:hAnsi="仿宋_GB2312" w:eastAsia="仿宋_GB2312" w:cs="仿宋_GB2312"/>
          <w:b/>
          <w:bCs/>
          <w:sz w:val="28"/>
          <w:szCs w:val="28"/>
        </w:rPr>
      </w:pPr>
      <w:r>
        <w:fldChar w:fldCharType="begin"/>
      </w:r>
      <w:r>
        <w:instrText xml:space="preserve"> HYPERLINK \l "_Toc7330" </w:instrText>
      </w:r>
      <w:r>
        <w:fldChar w:fldCharType="separate"/>
      </w:r>
      <w:r>
        <w:rPr>
          <w:rFonts w:hint="eastAsia" w:ascii="仿宋_GB2312" w:hAnsi="仿宋_GB2312" w:eastAsia="仿宋_GB2312" w:cs="仿宋_GB2312"/>
          <w:b/>
          <w:bCs/>
          <w:kern w:val="0"/>
          <w:sz w:val="28"/>
          <w:szCs w:val="28"/>
          <w:lang w:eastAsia="zh-Hans"/>
        </w:rPr>
        <w:t>三、综合评价情况及评价结论</w:t>
      </w:r>
      <w:r>
        <w:rPr>
          <w:rFonts w:hint="eastAsia" w:ascii="仿宋_GB2312" w:hAnsi="仿宋_GB2312" w:eastAsia="仿宋_GB2312" w:cs="仿宋_GB2312"/>
          <w:b/>
          <w:bCs/>
          <w:sz w:val="28"/>
          <w:szCs w:val="28"/>
        </w:rPr>
        <w:tab/>
      </w:r>
      <w:r>
        <w:rPr>
          <w:rFonts w:hint="eastAsia" w:ascii="仿宋_GB2312" w:hAnsi="仿宋_GB2312" w:eastAsia="仿宋_GB2312" w:cs="仿宋_GB2312"/>
          <w:b/>
          <w:bCs/>
          <w:sz w:val="28"/>
          <w:szCs w:val="28"/>
        </w:rPr>
        <w:fldChar w:fldCharType="begin"/>
      </w:r>
      <w:r>
        <w:rPr>
          <w:rFonts w:hint="eastAsia" w:ascii="仿宋_GB2312" w:hAnsi="仿宋_GB2312" w:eastAsia="仿宋_GB2312" w:cs="仿宋_GB2312"/>
          <w:b/>
          <w:bCs/>
          <w:sz w:val="28"/>
          <w:szCs w:val="28"/>
        </w:rPr>
        <w:instrText xml:space="preserve"> PAGEREF _Toc7330 \h </w:instrText>
      </w:r>
      <w:r>
        <w:rPr>
          <w:rFonts w:hint="eastAsia" w:ascii="仿宋_GB2312" w:hAnsi="仿宋_GB2312" w:eastAsia="仿宋_GB2312" w:cs="仿宋_GB2312"/>
          <w:b/>
          <w:bCs/>
          <w:sz w:val="28"/>
          <w:szCs w:val="28"/>
        </w:rPr>
        <w:fldChar w:fldCharType="separate"/>
      </w:r>
      <w:r>
        <w:rPr>
          <w:rFonts w:hint="eastAsia" w:ascii="仿宋_GB2312" w:hAnsi="仿宋_GB2312" w:eastAsia="仿宋_GB2312" w:cs="仿宋_GB2312"/>
          <w:b/>
          <w:bCs/>
          <w:sz w:val="28"/>
          <w:szCs w:val="28"/>
        </w:rPr>
        <w:t>6</w:t>
      </w:r>
      <w:r>
        <w:rPr>
          <w:rFonts w:hint="eastAsia" w:ascii="仿宋_GB2312" w:hAnsi="仿宋_GB2312" w:eastAsia="仿宋_GB2312" w:cs="仿宋_GB2312"/>
          <w:b/>
          <w:bCs/>
          <w:sz w:val="28"/>
          <w:szCs w:val="28"/>
        </w:rPr>
        <w:fldChar w:fldCharType="end"/>
      </w:r>
      <w:r>
        <w:rPr>
          <w:rFonts w:hint="eastAsia" w:ascii="仿宋_GB2312" w:hAnsi="仿宋_GB2312" w:eastAsia="仿宋_GB2312" w:cs="仿宋_GB2312"/>
          <w:b/>
          <w:bCs/>
          <w:sz w:val="28"/>
          <w:szCs w:val="28"/>
        </w:rPr>
        <w:fldChar w:fldCharType="end"/>
      </w:r>
    </w:p>
    <w:p>
      <w:pPr>
        <w:pStyle w:val="10"/>
        <w:tabs>
          <w:tab w:val="right" w:leader="dot" w:pos="8845"/>
        </w:tabs>
        <w:spacing w:line="560" w:lineRule="exact"/>
        <w:ind w:firstLine="420" w:firstLineChars="200"/>
        <w:rPr>
          <w:rFonts w:hint="eastAsia" w:ascii="仿宋_GB2312" w:hAnsi="仿宋_GB2312" w:eastAsia="仿宋_GB2312" w:cs="仿宋_GB2312"/>
          <w:b/>
          <w:bCs/>
          <w:sz w:val="28"/>
          <w:szCs w:val="28"/>
        </w:rPr>
      </w:pPr>
      <w:r>
        <w:fldChar w:fldCharType="begin"/>
      </w:r>
      <w:r>
        <w:instrText xml:space="preserve"> HYPERLINK \l "_Toc6986" </w:instrText>
      </w:r>
      <w:r>
        <w:fldChar w:fldCharType="separate"/>
      </w:r>
      <w:r>
        <w:rPr>
          <w:rFonts w:hint="eastAsia" w:ascii="仿宋_GB2312" w:hAnsi="仿宋_GB2312" w:eastAsia="仿宋_GB2312" w:cs="仿宋_GB2312"/>
          <w:b/>
          <w:bCs/>
          <w:kern w:val="0"/>
          <w:sz w:val="28"/>
          <w:szCs w:val="28"/>
          <w:lang w:eastAsia="zh-Hans"/>
        </w:rPr>
        <w:t>四、绩效评价指标分析</w:t>
      </w:r>
      <w:r>
        <w:rPr>
          <w:rFonts w:hint="eastAsia" w:ascii="仿宋_GB2312" w:hAnsi="仿宋_GB2312" w:eastAsia="仿宋_GB2312" w:cs="仿宋_GB2312"/>
          <w:b/>
          <w:bCs/>
          <w:sz w:val="28"/>
          <w:szCs w:val="28"/>
        </w:rPr>
        <w:tab/>
      </w:r>
      <w:r>
        <w:rPr>
          <w:rFonts w:hint="eastAsia" w:ascii="仿宋_GB2312" w:hAnsi="仿宋_GB2312" w:eastAsia="仿宋_GB2312" w:cs="仿宋_GB2312"/>
          <w:b/>
          <w:bCs/>
          <w:sz w:val="28"/>
          <w:szCs w:val="28"/>
        </w:rPr>
        <w:fldChar w:fldCharType="begin"/>
      </w:r>
      <w:r>
        <w:rPr>
          <w:rFonts w:hint="eastAsia" w:ascii="仿宋_GB2312" w:hAnsi="仿宋_GB2312" w:eastAsia="仿宋_GB2312" w:cs="仿宋_GB2312"/>
          <w:b/>
          <w:bCs/>
          <w:sz w:val="28"/>
          <w:szCs w:val="28"/>
        </w:rPr>
        <w:instrText xml:space="preserve"> PAGEREF _Toc6986 \h </w:instrText>
      </w:r>
      <w:r>
        <w:rPr>
          <w:rFonts w:hint="eastAsia" w:ascii="仿宋_GB2312" w:hAnsi="仿宋_GB2312" w:eastAsia="仿宋_GB2312" w:cs="仿宋_GB2312"/>
          <w:b/>
          <w:bCs/>
          <w:sz w:val="28"/>
          <w:szCs w:val="28"/>
        </w:rPr>
        <w:fldChar w:fldCharType="separate"/>
      </w:r>
      <w:r>
        <w:rPr>
          <w:rFonts w:hint="eastAsia" w:ascii="仿宋_GB2312" w:hAnsi="仿宋_GB2312" w:eastAsia="仿宋_GB2312" w:cs="仿宋_GB2312"/>
          <w:b/>
          <w:bCs/>
          <w:sz w:val="28"/>
          <w:szCs w:val="28"/>
        </w:rPr>
        <w:t>6</w:t>
      </w:r>
      <w:r>
        <w:rPr>
          <w:rFonts w:hint="eastAsia" w:ascii="仿宋_GB2312" w:hAnsi="仿宋_GB2312" w:eastAsia="仿宋_GB2312" w:cs="仿宋_GB2312"/>
          <w:b/>
          <w:bCs/>
          <w:sz w:val="28"/>
          <w:szCs w:val="28"/>
        </w:rPr>
        <w:fldChar w:fldCharType="end"/>
      </w:r>
      <w:r>
        <w:rPr>
          <w:rFonts w:hint="eastAsia" w:ascii="仿宋_GB2312" w:hAnsi="仿宋_GB2312" w:eastAsia="仿宋_GB2312" w:cs="仿宋_GB2312"/>
          <w:b/>
          <w:bCs/>
          <w:sz w:val="28"/>
          <w:szCs w:val="28"/>
        </w:rPr>
        <w:fldChar w:fldCharType="end"/>
      </w:r>
    </w:p>
    <w:p>
      <w:pPr>
        <w:pStyle w:val="12"/>
        <w:tabs>
          <w:tab w:val="right" w:leader="dot" w:pos="8845"/>
        </w:tabs>
        <w:spacing w:line="560" w:lineRule="exact"/>
        <w:ind w:firstLine="420" w:firstLineChars="200"/>
        <w:rPr>
          <w:rFonts w:hint="eastAsia" w:ascii="仿宋_GB2312" w:hAnsi="仿宋_GB2312" w:eastAsia="仿宋_GB2312" w:cs="仿宋_GB2312"/>
          <w:sz w:val="28"/>
          <w:szCs w:val="28"/>
        </w:rPr>
      </w:pPr>
      <w:r>
        <w:fldChar w:fldCharType="begin"/>
      </w:r>
      <w:r>
        <w:instrText xml:space="preserve"> HYPERLINK \l "_Toc30713" </w:instrText>
      </w:r>
      <w:r>
        <w:fldChar w:fldCharType="separate"/>
      </w:r>
      <w:r>
        <w:rPr>
          <w:rFonts w:hint="eastAsia" w:ascii="仿宋_GB2312" w:hAnsi="仿宋_GB2312" w:eastAsia="仿宋_GB2312" w:cs="仿宋_GB2312"/>
          <w:bCs/>
          <w:kern w:val="0"/>
          <w:sz w:val="28"/>
          <w:szCs w:val="28"/>
        </w:rPr>
        <w:t>（一）项目决策情况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_Toc30713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2"/>
        <w:tabs>
          <w:tab w:val="right" w:leader="dot" w:pos="8845"/>
        </w:tabs>
        <w:spacing w:line="560" w:lineRule="exact"/>
        <w:ind w:firstLine="420" w:firstLineChars="200"/>
        <w:rPr>
          <w:rFonts w:hint="eastAsia" w:ascii="仿宋_GB2312" w:hAnsi="仿宋_GB2312" w:eastAsia="仿宋_GB2312" w:cs="仿宋_GB2312"/>
          <w:sz w:val="28"/>
          <w:szCs w:val="28"/>
        </w:rPr>
      </w:pPr>
      <w:r>
        <w:fldChar w:fldCharType="begin"/>
      </w:r>
      <w:r>
        <w:instrText xml:space="preserve"> HYPERLINK \l "_Toc18606" </w:instrText>
      </w:r>
      <w:r>
        <w:fldChar w:fldCharType="separate"/>
      </w:r>
      <w:r>
        <w:rPr>
          <w:rFonts w:hint="eastAsia" w:ascii="仿宋_GB2312" w:hAnsi="仿宋_GB2312" w:eastAsia="仿宋_GB2312" w:cs="仿宋_GB2312"/>
          <w:bCs/>
          <w:kern w:val="0"/>
          <w:sz w:val="28"/>
          <w:szCs w:val="28"/>
        </w:rPr>
        <w:t>（二）项目过程情况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_Toc18606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2"/>
        <w:tabs>
          <w:tab w:val="right" w:leader="dot" w:pos="8845"/>
        </w:tabs>
        <w:spacing w:line="560" w:lineRule="exact"/>
        <w:ind w:firstLine="420" w:firstLineChars="200"/>
        <w:rPr>
          <w:rFonts w:hint="eastAsia" w:ascii="仿宋_GB2312" w:hAnsi="仿宋_GB2312" w:eastAsia="仿宋_GB2312" w:cs="仿宋_GB2312"/>
          <w:sz w:val="28"/>
          <w:szCs w:val="28"/>
        </w:rPr>
      </w:pPr>
      <w:r>
        <w:fldChar w:fldCharType="begin"/>
      </w:r>
      <w:r>
        <w:instrText xml:space="preserve"> HYPERLINK \l "_Toc4149" </w:instrText>
      </w:r>
      <w:r>
        <w:fldChar w:fldCharType="separate"/>
      </w:r>
      <w:r>
        <w:rPr>
          <w:rFonts w:hint="eastAsia" w:ascii="仿宋_GB2312" w:hAnsi="仿宋_GB2312" w:eastAsia="仿宋_GB2312" w:cs="仿宋_GB2312"/>
          <w:bCs/>
          <w:kern w:val="0"/>
          <w:sz w:val="28"/>
          <w:szCs w:val="28"/>
        </w:rPr>
        <w:t>（三）项目产出情况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_Toc4149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2"/>
        <w:tabs>
          <w:tab w:val="right" w:leader="dot" w:pos="8845"/>
        </w:tabs>
        <w:spacing w:line="560" w:lineRule="exact"/>
        <w:ind w:firstLine="420" w:firstLineChars="200"/>
        <w:rPr>
          <w:rFonts w:hint="eastAsia" w:ascii="仿宋_GB2312" w:hAnsi="仿宋_GB2312" w:eastAsia="仿宋_GB2312" w:cs="仿宋_GB2312"/>
          <w:sz w:val="28"/>
          <w:szCs w:val="28"/>
        </w:rPr>
      </w:pPr>
      <w:r>
        <w:fldChar w:fldCharType="begin"/>
      </w:r>
      <w:r>
        <w:instrText xml:space="preserve"> HYPERLINK \l "_Toc730" </w:instrText>
      </w:r>
      <w:r>
        <w:fldChar w:fldCharType="separate"/>
      </w:r>
      <w:r>
        <w:rPr>
          <w:rFonts w:hint="eastAsia" w:ascii="仿宋_GB2312" w:hAnsi="仿宋_GB2312" w:eastAsia="仿宋_GB2312" w:cs="仿宋_GB2312"/>
          <w:bCs/>
          <w:kern w:val="0"/>
          <w:sz w:val="28"/>
          <w:szCs w:val="28"/>
        </w:rPr>
        <w:t>（四）项目效益情况</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_Toc730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fldChar w:fldCharType="end"/>
      </w:r>
    </w:p>
    <w:p>
      <w:pPr>
        <w:pStyle w:val="10"/>
        <w:tabs>
          <w:tab w:val="right" w:leader="dot" w:pos="8845"/>
        </w:tabs>
        <w:spacing w:line="560" w:lineRule="exact"/>
        <w:ind w:firstLine="420" w:firstLineChars="200"/>
        <w:rPr>
          <w:rFonts w:hint="eastAsia" w:ascii="仿宋_GB2312" w:hAnsi="仿宋_GB2312" w:eastAsia="仿宋_GB2312" w:cs="仿宋_GB2312"/>
          <w:b/>
          <w:sz w:val="28"/>
          <w:szCs w:val="28"/>
        </w:rPr>
      </w:pPr>
      <w:r>
        <w:fldChar w:fldCharType="begin"/>
      </w:r>
      <w:r>
        <w:instrText xml:space="preserve"> HYPERLINK \l "_Toc11440" </w:instrText>
      </w:r>
      <w:r>
        <w:fldChar w:fldCharType="separate"/>
      </w:r>
      <w:r>
        <w:rPr>
          <w:rFonts w:hint="eastAsia" w:ascii="仿宋_GB2312" w:hAnsi="仿宋_GB2312" w:eastAsia="仿宋_GB2312" w:cs="仿宋_GB2312"/>
          <w:b/>
          <w:kern w:val="0"/>
          <w:sz w:val="28"/>
          <w:szCs w:val="28"/>
        </w:rPr>
        <w:t>五、存在的主要问题</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_Toc11440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9</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pStyle w:val="10"/>
        <w:tabs>
          <w:tab w:val="right" w:leader="dot" w:pos="8845"/>
        </w:tabs>
        <w:spacing w:line="560" w:lineRule="exact"/>
        <w:ind w:firstLine="420" w:firstLineChars="200"/>
        <w:rPr>
          <w:rFonts w:hint="eastAsia" w:ascii="仿宋_GB2312" w:hAnsi="仿宋_GB2312" w:eastAsia="仿宋_GB2312" w:cs="仿宋_GB2312"/>
          <w:b/>
          <w:sz w:val="28"/>
          <w:szCs w:val="28"/>
        </w:rPr>
      </w:pPr>
      <w:r>
        <w:fldChar w:fldCharType="begin"/>
      </w:r>
      <w:r>
        <w:instrText xml:space="preserve"> HYPERLINK \l "_Toc20876" </w:instrText>
      </w:r>
      <w:r>
        <w:fldChar w:fldCharType="separate"/>
      </w:r>
      <w:r>
        <w:rPr>
          <w:rFonts w:hint="eastAsia" w:ascii="仿宋_GB2312" w:hAnsi="仿宋_GB2312" w:eastAsia="仿宋_GB2312" w:cs="仿宋_GB2312"/>
          <w:b/>
          <w:kern w:val="0"/>
          <w:sz w:val="28"/>
          <w:szCs w:val="28"/>
        </w:rPr>
        <w:t>六、有关建议</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_Toc20876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10</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pStyle w:val="10"/>
        <w:tabs>
          <w:tab w:val="right" w:leader="dot" w:pos="8845"/>
        </w:tabs>
        <w:spacing w:line="560" w:lineRule="exact"/>
        <w:ind w:firstLine="420" w:firstLineChars="200"/>
        <w:rPr>
          <w:rFonts w:hint="eastAsia" w:ascii="仿宋_GB2312" w:hAnsi="仿宋_GB2312" w:eastAsia="仿宋_GB2312" w:cs="仿宋_GB2312"/>
          <w:b/>
          <w:sz w:val="28"/>
          <w:szCs w:val="28"/>
        </w:rPr>
      </w:pPr>
      <w:r>
        <w:fldChar w:fldCharType="begin"/>
      </w:r>
      <w:r>
        <w:instrText xml:space="preserve"> HYPERLINK \l "_Toc17614" </w:instrText>
      </w:r>
      <w:r>
        <w:fldChar w:fldCharType="separate"/>
      </w:r>
      <w:r>
        <w:rPr>
          <w:rFonts w:hint="eastAsia" w:ascii="仿宋_GB2312" w:hAnsi="仿宋_GB2312" w:eastAsia="仿宋_GB2312" w:cs="仿宋_GB2312"/>
          <w:b/>
          <w:kern w:val="0"/>
          <w:sz w:val="28"/>
          <w:szCs w:val="28"/>
        </w:rPr>
        <w:t>七、其他需要说明的问题</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_Toc17614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11</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pStyle w:val="10"/>
        <w:tabs>
          <w:tab w:val="right" w:leader="dot" w:pos="8845"/>
        </w:tabs>
        <w:spacing w:line="560" w:lineRule="exact"/>
        <w:ind w:firstLine="420" w:firstLineChars="200"/>
      </w:pPr>
      <w:r>
        <w:fldChar w:fldCharType="begin"/>
      </w:r>
      <w:r>
        <w:instrText xml:space="preserve"> HYPERLINK \l "_Toc10930" </w:instrText>
      </w:r>
      <w:r>
        <w:fldChar w:fldCharType="separate"/>
      </w:r>
      <w:r>
        <w:rPr>
          <w:rFonts w:hint="eastAsia" w:ascii="仿宋_GB2312" w:hAnsi="仿宋_GB2312" w:eastAsia="仿宋_GB2312" w:cs="仿宋_GB2312"/>
          <w:b/>
          <w:kern w:val="0"/>
          <w:sz w:val="28"/>
          <w:szCs w:val="28"/>
        </w:rPr>
        <w:t>八、附件</w:t>
      </w:r>
      <w:r>
        <w:rPr>
          <w:rFonts w:hint="eastAsia" w:ascii="仿宋_GB2312" w:hAnsi="仿宋_GB2312" w:eastAsia="仿宋_GB2312" w:cs="仿宋_GB2312"/>
          <w:b/>
          <w:sz w:val="28"/>
          <w:szCs w:val="28"/>
        </w:rPr>
        <w:tab/>
      </w:r>
      <w:r>
        <w:rPr>
          <w:rFonts w:hint="eastAsia" w:ascii="仿宋_GB2312" w:hAnsi="仿宋_GB2312" w:eastAsia="仿宋_GB2312" w:cs="仿宋_GB2312"/>
          <w:b/>
          <w:sz w:val="28"/>
          <w:szCs w:val="28"/>
        </w:rPr>
        <w:fldChar w:fldCharType="begin"/>
      </w:r>
      <w:r>
        <w:rPr>
          <w:rFonts w:hint="eastAsia" w:ascii="仿宋_GB2312" w:hAnsi="仿宋_GB2312" w:eastAsia="仿宋_GB2312" w:cs="仿宋_GB2312"/>
          <w:b/>
          <w:sz w:val="28"/>
          <w:szCs w:val="28"/>
        </w:rPr>
        <w:instrText xml:space="preserve"> PAGEREF _Toc10930 \h </w:instrText>
      </w:r>
      <w:r>
        <w:rPr>
          <w:rFonts w:hint="eastAsia" w:ascii="仿宋_GB2312" w:hAnsi="仿宋_GB2312" w:eastAsia="仿宋_GB2312" w:cs="仿宋_GB2312"/>
          <w:b/>
          <w:sz w:val="28"/>
          <w:szCs w:val="28"/>
        </w:rPr>
        <w:fldChar w:fldCharType="separate"/>
      </w:r>
      <w:r>
        <w:rPr>
          <w:rFonts w:hint="eastAsia" w:ascii="仿宋_GB2312" w:hAnsi="仿宋_GB2312" w:eastAsia="仿宋_GB2312" w:cs="仿宋_GB2312"/>
          <w:b/>
          <w:sz w:val="28"/>
          <w:szCs w:val="28"/>
        </w:rPr>
        <w:t>11</w:t>
      </w:r>
      <w:r>
        <w:rPr>
          <w:rFonts w:hint="eastAsia" w:ascii="仿宋_GB2312" w:hAnsi="仿宋_GB2312" w:eastAsia="仿宋_GB2312" w:cs="仿宋_GB2312"/>
          <w:b/>
          <w:sz w:val="28"/>
          <w:szCs w:val="28"/>
        </w:rPr>
        <w:fldChar w:fldCharType="end"/>
      </w:r>
      <w:r>
        <w:rPr>
          <w:rFonts w:hint="eastAsia" w:ascii="仿宋_GB2312" w:hAnsi="仿宋_GB2312" w:eastAsia="仿宋_GB2312" w:cs="仿宋_GB2312"/>
          <w:b/>
          <w:sz w:val="28"/>
          <w:szCs w:val="28"/>
        </w:rPr>
        <w:fldChar w:fldCharType="end"/>
      </w:r>
    </w:p>
    <w:p>
      <w:pPr>
        <w:spacing w:line="560" w:lineRule="exact"/>
        <w:ind w:firstLine="420" w:firstLineChars="200"/>
        <w:jc w:val="center"/>
        <w:rPr>
          <w:rFonts w:ascii="方正小标宋简体" w:eastAsia="方正小标宋简体"/>
          <w:sz w:val="36"/>
          <w:szCs w:val="36"/>
        </w:rPr>
        <w:sectPr>
          <w:footerReference r:id="rId5" w:type="default"/>
          <w:pgSz w:w="11906" w:h="16838"/>
          <w:pgMar w:top="2098" w:right="1474" w:bottom="1984" w:left="1587" w:header="851" w:footer="992" w:gutter="0"/>
          <w:pgNumType w:start="1"/>
          <w:cols w:space="720" w:num="1"/>
          <w:docGrid w:type="lines" w:linePitch="312" w:charSpace="0"/>
        </w:sectPr>
      </w:pPr>
      <w:r>
        <w:rPr>
          <w:rFonts w:hint="eastAsia" w:ascii="仿宋_GB2312" w:hAnsi="仿宋_GB2312" w:eastAsia="仿宋_GB2312" w:cs="仿宋_GB2312"/>
          <w:bCs/>
          <w:szCs w:val="28"/>
        </w:rPr>
        <w:fldChar w:fldCharType="end"/>
      </w:r>
    </w:p>
    <w:p>
      <w:pPr>
        <w:spacing w:line="560" w:lineRule="exact"/>
        <w:ind w:firstLine="720" w:firstLineChars="200"/>
        <w:jc w:val="center"/>
        <w:rPr>
          <w:rFonts w:ascii="方正小标宋简体" w:hAnsi="Leelawadee UI" w:eastAsia="方正小标宋简体"/>
          <w:bCs/>
          <w:kern w:val="0"/>
          <w:sz w:val="36"/>
          <w:szCs w:val="36"/>
        </w:rPr>
      </w:pPr>
      <w:r>
        <w:rPr>
          <w:rFonts w:hint="eastAsia" w:ascii="方正小标宋简体" w:hAnsi="Leelawadee UI" w:eastAsia="方正小标宋简体"/>
          <w:bCs/>
          <w:kern w:val="0"/>
          <w:sz w:val="36"/>
          <w:szCs w:val="36"/>
        </w:rPr>
        <w:t>北京市农村经济研究中心</w:t>
      </w:r>
    </w:p>
    <w:p>
      <w:pPr>
        <w:spacing w:line="560" w:lineRule="exact"/>
        <w:jc w:val="center"/>
        <w:rPr>
          <w:rFonts w:ascii="方正小标宋简体" w:hAnsi="Leelawadee UI" w:eastAsia="方正小标宋简体"/>
          <w:bCs/>
          <w:kern w:val="0"/>
          <w:sz w:val="36"/>
          <w:szCs w:val="36"/>
        </w:rPr>
      </w:pPr>
      <w:r>
        <w:rPr>
          <w:rFonts w:hint="eastAsia" w:ascii="方正小标宋简体" w:hAnsi="Leelawadee UI" w:eastAsia="方正小标宋简体"/>
          <w:bCs/>
          <w:kern w:val="0"/>
          <w:sz w:val="36"/>
          <w:szCs w:val="36"/>
        </w:rPr>
        <w:t>北京郊区100个村集体经济运行状况跟踪监测</w:t>
      </w:r>
    </w:p>
    <w:p>
      <w:pPr>
        <w:spacing w:line="560" w:lineRule="exact"/>
        <w:jc w:val="center"/>
        <w:rPr>
          <w:rFonts w:ascii="方正小标宋简体" w:hAnsi="Leelawadee UI" w:eastAsia="方正小标宋简体"/>
          <w:bCs/>
          <w:kern w:val="0"/>
          <w:sz w:val="36"/>
          <w:szCs w:val="36"/>
        </w:rPr>
      </w:pPr>
      <w:r>
        <w:rPr>
          <w:rFonts w:hint="eastAsia" w:ascii="方正小标宋简体" w:hAnsi="Leelawadee UI" w:eastAsia="方正小标宋简体"/>
          <w:bCs/>
          <w:kern w:val="0"/>
          <w:sz w:val="36"/>
          <w:szCs w:val="36"/>
        </w:rPr>
        <w:t>项目绩效评价报告</w:t>
      </w:r>
    </w:p>
    <w:p>
      <w:pPr>
        <w:spacing w:line="560" w:lineRule="exact"/>
        <w:ind w:firstLine="640" w:firstLineChars="200"/>
        <w:jc w:val="center"/>
        <w:rPr>
          <w:rFonts w:hint="eastAsia" w:ascii="仿宋_GB2312" w:hAnsi="仿宋_GB2312" w:eastAsia="仿宋_GB2312" w:cs="仿宋_GB2312"/>
          <w:bCs/>
          <w:kern w:val="0"/>
          <w:sz w:val="32"/>
          <w:szCs w:val="32"/>
        </w:rPr>
      </w:pPr>
    </w:p>
    <w:p>
      <w:pPr>
        <w:spacing w:line="560" w:lineRule="exact"/>
        <w:ind w:firstLine="640" w:firstLineChars="200"/>
        <w:rPr>
          <w:rFonts w:hint="eastAsia" w:ascii="黑体" w:hAnsi="黑体" w:eastAsia="黑体"/>
          <w:bCs/>
          <w:kern w:val="0"/>
          <w:sz w:val="32"/>
          <w:szCs w:val="28"/>
        </w:rPr>
      </w:pPr>
      <w:bookmarkStart w:id="0" w:name="_Toc14163"/>
      <w:bookmarkStart w:id="1" w:name="_Toc14813"/>
      <w:bookmarkStart w:id="2" w:name="_Toc2148"/>
      <w:r>
        <w:rPr>
          <w:rFonts w:hint="eastAsia" w:ascii="仿宋_GB2312" w:hAnsi="仿宋_GB2312" w:eastAsia="仿宋_GB2312"/>
          <w:sz w:val="32"/>
        </w:rPr>
        <w:t>为进一步推进预算绩效管理工作，提升财政资金使用效率和</w:t>
      </w:r>
      <w:r>
        <w:rPr>
          <w:rFonts w:hint="eastAsia" w:ascii="仿宋_GB2312" w:hAnsi="仿宋_GB2312" w:eastAsia="仿宋_GB2312" w:cs="仿宋_GB2312"/>
          <w:snapToGrid w:val="0"/>
          <w:sz w:val="32"/>
        </w:rPr>
        <w:t>部门绩效管理水平</w:t>
      </w:r>
      <w:r>
        <w:rPr>
          <w:rFonts w:hint="eastAsia" w:ascii="仿宋_GB2312" w:hAnsi="仿宋_GB2312" w:eastAsia="仿宋_GB2312"/>
          <w:sz w:val="32"/>
        </w:rPr>
        <w:t>，根据</w:t>
      </w:r>
      <w:r>
        <w:rPr>
          <w:rFonts w:eastAsia="仿宋_GB2312"/>
          <w:color w:val="000000"/>
          <w:kern w:val="0"/>
          <w:sz w:val="32"/>
          <w:szCs w:val="32"/>
        </w:rPr>
        <w:t>《中共北京市委 北京市人民政府关于全面实施预算绩效管理的实施意见》</w:t>
      </w:r>
      <w:r>
        <w:rPr>
          <w:rFonts w:hint="eastAsia" w:ascii="仿宋_GB2312" w:hAnsi="仿宋_GB2312" w:eastAsia="仿宋_GB2312"/>
          <w:sz w:val="32"/>
          <w:szCs w:val="22"/>
        </w:rPr>
        <w:t>（京发〔2019〕12号）、</w:t>
      </w:r>
      <w:r>
        <w:rPr>
          <w:rFonts w:eastAsia="仿宋_GB2312"/>
          <w:color w:val="000000"/>
          <w:kern w:val="0"/>
          <w:sz w:val="32"/>
          <w:szCs w:val="32"/>
        </w:rPr>
        <w:t>《北京市项目支出绩效评价管理办法》（京财绩效〔</w:t>
      </w:r>
      <w:r>
        <w:rPr>
          <w:rFonts w:hint="eastAsia" w:ascii="仿宋_GB2312" w:hAnsi="仿宋_GB2312" w:eastAsia="仿宋_GB2312" w:cs="仿宋_GB2312"/>
          <w:color w:val="000000"/>
          <w:kern w:val="0"/>
          <w:sz w:val="32"/>
          <w:szCs w:val="32"/>
        </w:rPr>
        <w:t>2020〕2146</w:t>
      </w:r>
      <w:r>
        <w:rPr>
          <w:rFonts w:eastAsia="仿宋_GB2312"/>
          <w:color w:val="000000"/>
          <w:kern w:val="0"/>
          <w:sz w:val="32"/>
          <w:szCs w:val="32"/>
        </w:rPr>
        <w:t>号）</w:t>
      </w:r>
      <w:r>
        <w:rPr>
          <w:rFonts w:hint="eastAsia" w:ascii="仿宋_GB2312" w:hAnsi="仿宋_GB2312" w:eastAsia="仿宋_GB2312" w:cs="仿宋_GB2312"/>
          <w:color w:val="000000"/>
          <w:sz w:val="32"/>
        </w:rPr>
        <w:t>等文件规定，结合</w:t>
      </w:r>
      <w:r>
        <w:rPr>
          <w:rFonts w:hint="eastAsia" w:eastAsia="仿宋_GB2312"/>
          <w:color w:val="000000"/>
          <w:kern w:val="0"/>
          <w:sz w:val="32"/>
          <w:szCs w:val="32"/>
        </w:rPr>
        <w:t>《</w:t>
      </w:r>
      <w:r>
        <w:rPr>
          <w:rFonts w:hint="eastAsia" w:ascii="仿宋_GB2312" w:hAnsi="仿宋_GB2312" w:eastAsia="仿宋_GB2312" w:cs="仿宋_GB2312"/>
          <w:bCs/>
          <w:kern w:val="0"/>
          <w:sz w:val="32"/>
          <w:szCs w:val="28"/>
        </w:rPr>
        <w:t>北京市财政局关于2025年预算绩效管理工作的通知</w:t>
      </w:r>
      <w:r>
        <w:rPr>
          <w:rFonts w:hint="eastAsia" w:eastAsia="仿宋_GB2312"/>
          <w:color w:val="000000"/>
          <w:kern w:val="0"/>
          <w:sz w:val="32"/>
          <w:szCs w:val="32"/>
        </w:rPr>
        <w:t>》</w:t>
      </w:r>
      <w:r>
        <w:rPr>
          <w:rFonts w:eastAsia="仿宋_GB2312"/>
          <w:color w:val="000000"/>
          <w:kern w:val="0"/>
          <w:sz w:val="32"/>
          <w:szCs w:val="32"/>
        </w:rPr>
        <w:t>等文件要求，北京市</w:t>
      </w:r>
      <w:r>
        <w:rPr>
          <w:rFonts w:hint="eastAsia" w:eastAsia="仿宋_GB2312"/>
          <w:color w:val="000000"/>
          <w:kern w:val="0"/>
          <w:sz w:val="32"/>
          <w:szCs w:val="32"/>
        </w:rPr>
        <w:t>农村经济研究中心</w:t>
      </w:r>
      <w:r>
        <w:rPr>
          <w:rFonts w:eastAsia="仿宋_GB2312"/>
          <w:color w:val="000000"/>
          <w:kern w:val="0"/>
          <w:sz w:val="32"/>
          <w:szCs w:val="32"/>
        </w:rPr>
        <w:t>（以下简称</w:t>
      </w:r>
      <w:r>
        <w:rPr>
          <w:rFonts w:hint="eastAsia" w:eastAsia="仿宋_GB2312"/>
          <w:color w:val="000000"/>
          <w:kern w:val="0"/>
          <w:sz w:val="32"/>
          <w:szCs w:val="32"/>
        </w:rPr>
        <w:t>“市农研中心”</w:t>
      </w:r>
      <w:r>
        <w:rPr>
          <w:rFonts w:eastAsia="仿宋_GB2312"/>
          <w:color w:val="000000"/>
          <w:kern w:val="0"/>
          <w:sz w:val="32"/>
          <w:szCs w:val="32"/>
        </w:rPr>
        <w:t>）组建评价工作组</w:t>
      </w:r>
      <w:r>
        <w:rPr>
          <w:rFonts w:hint="eastAsia" w:eastAsia="仿宋_GB2312"/>
          <w:color w:val="000000"/>
          <w:kern w:val="0"/>
          <w:sz w:val="32"/>
          <w:szCs w:val="32"/>
        </w:rPr>
        <w:t>，</w:t>
      </w:r>
      <w:r>
        <w:rPr>
          <w:rFonts w:eastAsia="仿宋_GB2312"/>
          <w:color w:val="000000"/>
          <w:kern w:val="0"/>
          <w:sz w:val="32"/>
          <w:szCs w:val="32"/>
        </w:rPr>
        <w:t>对</w:t>
      </w:r>
      <w:r>
        <w:rPr>
          <w:rFonts w:eastAsia="仿宋_GB2312"/>
          <w:bCs/>
          <w:sz w:val="32"/>
          <w:szCs w:val="32"/>
        </w:rPr>
        <w:t>“</w:t>
      </w:r>
      <w:r>
        <w:rPr>
          <w:rFonts w:hint="eastAsia" w:eastAsia="仿宋_GB2312"/>
          <w:bCs/>
          <w:sz w:val="32"/>
          <w:szCs w:val="32"/>
        </w:rPr>
        <w:t>北京郊区</w:t>
      </w:r>
      <w:r>
        <w:rPr>
          <w:rFonts w:hint="eastAsia" w:ascii="仿宋_GB2312" w:hAnsi="仿宋_GB2312" w:eastAsia="仿宋_GB2312" w:cs="仿宋_GB2312"/>
          <w:bCs/>
          <w:sz w:val="32"/>
          <w:szCs w:val="32"/>
        </w:rPr>
        <w:t>100</w:t>
      </w:r>
      <w:r>
        <w:rPr>
          <w:rFonts w:hint="eastAsia" w:eastAsia="仿宋_GB2312"/>
          <w:bCs/>
          <w:sz w:val="32"/>
          <w:szCs w:val="32"/>
        </w:rPr>
        <w:t>个村集体经济运行状况跟踪监测</w:t>
      </w:r>
      <w:r>
        <w:rPr>
          <w:rFonts w:eastAsia="仿宋_GB2312"/>
          <w:bCs/>
          <w:sz w:val="32"/>
          <w:szCs w:val="32"/>
        </w:rPr>
        <w:t>”项目（以下简称</w:t>
      </w:r>
      <w:r>
        <w:rPr>
          <w:rFonts w:hint="eastAsia" w:eastAsia="仿宋_GB2312"/>
          <w:bCs/>
          <w:sz w:val="32"/>
          <w:szCs w:val="32"/>
        </w:rPr>
        <w:t>“</w:t>
      </w:r>
      <w:r>
        <w:rPr>
          <w:rFonts w:eastAsia="仿宋_GB2312"/>
          <w:bCs/>
          <w:sz w:val="32"/>
          <w:szCs w:val="32"/>
        </w:rPr>
        <w:t>该项目</w:t>
      </w:r>
      <w:r>
        <w:rPr>
          <w:rFonts w:hint="eastAsia" w:eastAsia="仿宋_GB2312"/>
          <w:bCs/>
          <w:sz w:val="32"/>
          <w:szCs w:val="32"/>
        </w:rPr>
        <w:t>”</w:t>
      </w:r>
      <w:r>
        <w:rPr>
          <w:rFonts w:eastAsia="仿宋_GB2312"/>
          <w:bCs/>
          <w:sz w:val="32"/>
          <w:szCs w:val="32"/>
        </w:rPr>
        <w:t>）实施绩效评价，形成本</w:t>
      </w:r>
      <w:r>
        <w:rPr>
          <w:rFonts w:hint="eastAsia" w:eastAsia="仿宋_GB2312"/>
          <w:bCs/>
          <w:sz w:val="32"/>
          <w:szCs w:val="32"/>
        </w:rPr>
        <w:t>绩效评价</w:t>
      </w:r>
      <w:r>
        <w:rPr>
          <w:rFonts w:eastAsia="仿宋_GB2312"/>
          <w:bCs/>
          <w:sz w:val="32"/>
          <w:szCs w:val="32"/>
        </w:rPr>
        <w:t>报告</w:t>
      </w:r>
      <w:r>
        <w:rPr>
          <w:rFonts w:eastAsia="仿宋_GB2312"/>
          <w:color w:val="000000"/>
          <w:kern w:val="0"/>
          <w:sz w:val="32"/>
          <w:szCs w:val="32"/>
        </w:rPr>
        <w:t>。</w:t>
      </w:r>
      <w:bookmarkEnd w:id="0"/>
      <w:bookmarkEnd w:id="1"/>
      <w:bookmarkEnd w:id="2"/>
    </w:p>
    <w:p>
      <w:pPr>
        <w:spacing w:line="560" w:lineRule="exact"/>
        <w:ind w:firstLine="640" w:firstLineChars="200"/>
        <w:outlineLvl w:val="0"/>
        <w:rPr>
          <w:rFonts w:hint="eastAsia" w:ascii="黑体" w:hAnsi="黑体" w:eastAsia="黑体"/>
          <w:bCs/>
          <w:kern w:val="0"/>
          <w:sz w:val="32"/>
          <w:szCs w:val="28"/>
        </w:rPr>
      </w:pPr>
      <w:bookmarkStart w:id="3" w:name="_Toc19236"/>
      <w:bookmarkStart w:id="4" w:name="_Toc20107"/>
      <w:r>
        <w:rPr>
          <w:rFonts w:hint="eastAsia" w:ascii="黑体" w:hAnsi="黑体" w:eastAsia="黑体"/>
          <w:bCs/>
          <w:kern w:val="0"/>
          <w:sz w:val="32"/>
          <w:szCs w:val="28"/>
        </w:rPr>
        <w:t>一、基本情况</w:t>
      </w:r>
      <w:bookmarkEnd w:id="3"/>
      <w:bookmarkEnd w:id="4"/>
    </w:p>
    <w:p>
      <w:pPr>
        <w:spacing w:line="560" w:lineRule="exact"/>
        <w:ind w:firstLine="640" w:firstLineChars="200"/>
        <w:outlineLvl w:val="1"/>
        <w:rPr>
          <w:rFonts w:eastAsia="楷体"/>
          <w:bCs/>
          <w:sz w:val="32"/>
          <w:szCs w:val="32"/>
        </w:rPr>
      </w:pPr>
      <w:bookmarkStart w:id="5" w:name="_Toc20754"/>
      <w:bookmarkStart w:id="6" w:name="_Toc6771"/>
      <w:r>
        <w:rPr>
          <w:rFonts w:hint="eastAsia" w:eastAsia="楷体"/>
          <w:bCs/>
          <w:sz w:val="32"/>
          <w:szCs w:val="32"/>
        </w:rPr>
        <w:t>（一）项目概况</w:t>
      </w:r>
      <w:bookmarkEnd w:id="5"/>
      <w:bookmarkEnd w:id="6"/>
    </w:p>
    <w:p>
      <w:pPr>
        <w:spacing w:line="560" w:lineRule="exact"/>
        <w:ind w:firstLine="640" w:firstLineChars="200"/>
        <w:rPr>
          <w:rFonts w:hint="eastAsia" w:ascii="仿宋_GB2312" w:hAnsi="楷体" w:eastAsia="仿宋_GB2312"/>
          <w:bCs/>
          <w:kern w:val="0"/>
          <w:sz w:val="32"/>
          <w:szCs w:val="28"/>
        </w:rPr>
      </w:pPr>
      <w:r>
        <w:rPr>
          <w:rFonts w:hint="eastAsia" w:ascii="仿宋_GB2312" w:hAnsi="楷体" w:eastAsia="仿宋_GB2312"/>
          <w:bCs/>
          <w:kern w:val="0"/>
          <w:sz w:val="32"/>
          <w:szCs w:val="28"/>
        </w:rPr>
        <w:t>1.项目背景</w:t>
      </w:r>
    </w:p>
    <w:p>
      <w:pPr>
        <w:spacing w:line="560" w:lineRule="exact"/>
        <w:ind w:firstLine="640" w:firstLineChars="200"/>
        <w:rPr>
          <w:rFonts w:hint="eastAsia" w:ascii="仿宋_GB2312" w:hAnsi="楷体" w:eastAsia="仿宋_GB2312"/>
          <w:bCs/>
          <w:kern w:val="0"/>
          <w:sz w:val="32"/>
          <w:szCs w:val="28"/>
        </w:rPr>
      </w:pPr>
      <w:r>
        <w:rPr>
          <w:rFonts w:hint="eastAsia" w:ascii="仿宋_GB2312" w:hAnsi="楷体" w:eastAsia="仿宋_GB2312"/>
          <w:bCs/>
          <w:kern w:val="0"/>
          <w:sz w:val="32"/>
          <w:szCs w:val="28"/>
        </w:rPr>
        <w:t>为贯彻执行《中华人民共和国乡村振兴促进法》和《北京市“十四五”时期乡村振兴战略实施规划》中关于开展乡村振兴战略实施监测分析的规定</w:t>
      </w:r>
      <w:r>
        <w:rPr>
          <w:rFonts w:hint="eastAsia" w:ascii="仿宋_GB2312" w:hAnsi="楷体" w:eastAsia="仿宋_GB2312"/>
          <w:bCs/>
          <w:kern w:val="0"/>
          <w:sz w:val="32"/>
          <w:szCs w:val="28"/>
          <w:lang w:eastAsia="zh-CN"/>
        </w:rPr>
        <w:t>以及有关工作要求</w:t>
      </w:r>
      <w:r>
        <w:rPr>
          <w:rFonts w:hint="eastAsia" w:ascii="仿宋_GB2312" w:hAnsi="楷体" w:eastAsia="仿宋_GB2312"/>
          <w:bCs/>
          <w:kern w:val="0"/>
          <w:sz w:val="32"/>
          <w:szCs w:val="28"/>
        </w:rPr>
        <w:t>，市农研中心将对发展壮大集体经济的工作和成效进行观察、监测和评价，旨在为市委、市政府在农村改革与发展方面的决策提供信息支持。</w:t>
      </w:r>
    </w:p>
    <w:p>
      <w:pPr>
        <w:spacing w:line="560" w:lineRule="exact"/>
        <w:ind w:firstLine="640" w:firstLineChars="200"/>
      </w:pPr>
      <w:r>
        <w:rPr>
          <w:rFonts w:ascii="仿宋_GB2312" w:hAnsi="楷体" w:eastAsia="仿宋_GB2312"/>
          <w:bCs/>
          <w:kern w:val="0"/>
          <w:sz w:val="32"/>
          <w:szCs w:val="28"/>
        </w:rPr>
        <w:t>为贯彻上述要求，实现对村集体经济发展的动态跟踪与监测，为市委、市政府在领导农村改革与发展方面提供实时、便捷的信息支持和坚实的决策依据，</w:t>
      </w:r>
      <w:r>
        <w:rPr>
          <w:rFonts w:hint="eastAsia" w:ascii="仿宋_GB2312" w:hAnsi="楷体" w:eastAsia="仿宋_GB2312"/>
          <w:bCs/>
          <w:kern w:val="0"/>
          <w:sz w:val="32"/>
          <w:szCs w:val="28"/>
        </w:rPr>
        <w:t>市</w:t>
      </w:r>
      <w:r>
        <w:rPr>
          <w:rFonts w:ascii="仿宋_GB2312" w:hAnsi="楷体" w:eastAsia="仿宋_GB2312"/>
          <w:bCs/>
          <w:kern w:val="0"/>
          <w:sz w:val="32"/>
          <w:szCs w:val="28"/>
        </w:rPr>
        <w:t>农研中心</w:t>
      </w:r>
      <w:r>
        <w:rPr>
          <w:rFonts w:hint="eastAsia" w:ascii="仿宋_GB2312" w:hAnsi="楷体" w:eastAsia="仿宋_GB2312"/>
          <w:bCs/>
          <w:kern w:val="0"/>
          <w:sz w:val="32"/>
          <w:szCs w:val="28"/>
        </w:rPr>
        <w:t>2</w:t>
      </w:r>
      <w:r>
        <w:rPr>
          <w:rFonts w:ascii="仿宋_GB2312" w:hAnsi="楷体" w:eastAsia="仿宋_GB2312"/>
          <w:bCs/>
          <w:kern w:val="0"/>
          <w:sz w:val="32"/>
          <w:szCs w:val="28"/>
        </w:rPr>
        <w:t>024年</w:t>
      </w:r>
      <w:r>
        <w:rPr>
          <w:rFonts w:hint="eastAsia" w:ascii="仿宋_GB2312" w:hAnsi="楷体" w:eastAsia="仿宋_GB2312"/>
          <w:bCs/>
          <w:kern w:val="0"/>
          <w:sz w:val="32"/>
          <w:szCs w:val="28"/>
        </w:rPr>
        <w:t>继续</w:t>
      </w:r>
      <w:r>
        <w:rPr>
          <w:rFonts w:ascii="仿宋_GB2312" w:hAnsi="楷体" w:eastAsia="仿宋_GB2312"/>
          <w:bCs/>
          <w:kern w:val="0"/>
          <w:sz w:val="32"/>
          <w:szCs w:val="28"/>
        </w:rPr>
        <w:t>申报该项目。</w:t>
      </w:r>
    </w:p>
    <w:p>
      <w:pPr>
        <w:pStyle w:val="13"/>
        <w:spacing w:line="560" w:lineRule="exact"/>
        <w:ind w:left="0" w:firstLine="640" w:firstLineChars="200"/>
        <w:rPr>
          <w:rFonts w:hint="eastAsia" w:ascii="仿宋_GB2312" w:hAnsi="仿宋_GB2312" w:eastAsia="仿宋_GB2312" w:cs="仿宋_GB2312"/>
          <w:bCs/>
          <w:kern w:val="0"/>
        </w:rPr>
      </w:pPr>
      <w:r>
        <w:rPr>
          <w:rFonts w:hint="eastAsia" w:ascii="仿宋_GB2312" w:hAnsi="仿宋_GB2312" w:eastAsia="仿宋_GB2312" w:cs="仿宋_GB2312"/>
          <w:bCs/>
          <w:kern w:val="0"/>
        </w:rPr>
        <w:t>2.项目主要内容</w:t>
      </w:r>
    </w:p>
    <w:p>
      <w:pPr>
        <w:pStyle w:val="28"/>
        <w:spacing w:line="560" w:lineRule="exact"/>
        <w:rPr>
          <w:rFonts w:hint="eastAsia" w:ascii="仿宋_GB2312" w:hAnsi="仿宋_GB2312" w:cs="仿宋_GB2312"/>
        </w:rPr>
      </w:pPr>
      <w:r>
        <w:rPr>
          <w:rFonts w:hint="eastAsia" w:ascii="仿宋_GB2312" w:hAnsi="仿宋_GB2312" w:cs="仿宋_GB2312"/>
        </w:rPr>
        <w:t>（1）完善监测指标体系。包括两个层级，分别为村级六大类279个监测指标、户级四大类66个监测指标。</w:t>
      </w:r>
    </w:p>
    <w:p>
      <w:pPr>
        <w:pStyle w:val="28"/>
        <w:spacing w:line="560" w:lineRule="exact"/>
        <w:rPr>
          <w:rFonts w:hint="eastAsia" w:ascii="仿宋_GB2312" w:hAnsi="仿宋_GB2312" w:cs="仿宋_GB2312"/>
        </w:rPr>
      </w:pPr>
      <w:r>
        <w:rPr>
          <w:rFonts w:hint="eastAsia" w:ascii="仿宋_GB2312" w:hAnsi="仿宋_GB2312" w:cs="仿宋_GB2312"/>
        </w:rPr>
        <w:t>（2）完成数据填报。</w:t>
      </w:r>
    </w:p>
    <w:p>
      <w:pPr>
        <w:pStyle w:val="28"/>
        <w:spacing w:line="560" w:lineRule="exact"/>
        <w:rPr>
          <w:rFonts w:hint="eastAsia" w:ascii="仿宋_GB2312" w:hAnsi="仿宋_GB2312" w:cs="仿宋_GB2312"/>
        </w:rPr>
      </w:pPr>
      <w:r>
        <w:rPr>
          <w:rFonts w:hint="eastAsia" w:ascii="仿宋_GB2312" w:hAnsi="仿宋_GB2312" w:cs="仿宋_GB2312"/>
        </w:rPr>
        <w:t>①村级监测表于2月15日前完成填报，户级监测表于1月15日前完成填报。监测点覆盖全市14个区、75个乡镇、100个村、1000个农户、近2700名家庭成员；</w:t>
      </w:r>
    </w:p>
    <w:p>
      <w:pPr>
        <w:pStyle w:val="28"/>
        <w:spacing w:line="560" w:lineRule="exact"/>
        <w:rPr>
          <w:rFonts w:hint="eastAsia" w:ascii="仿宋_GB2312" w:hAnsi="仿宋_GB2312" w:cs="仿宋_GB2312"/>
        </w:rPr>
      </w:pPr>
      <w:r>
        <w:rPr>
          <w:rFonts w:hint="eastAsia" w:ascii="仿宋_GB2312" w:hAnsi="仿宋_GB2312" w:cs="仿宋_GB2312"/>
        </w:rPr>
        <w:t>②保障市、区、乡镇、村四级监测点工作队伍近400人；</w:t>
      </w:r>
    </w:p>
    <w:p>
      <w:pPr>
        <w:pStyle w:val="28"/>
        <w:spacing w:line="560" w:lineRule="exact"/>
        <w:rPr>
          <w:rFonts w:hint="eastAsia" w:ascii="仿宋_GB2312" w:hAnsi="仿宋_GB2312" w:cs="仿宋_GB2312"/>
        </w:rPr>
      </w:pPr>
      <w:r>
        <w:rPr>
          <w:rFonts w:hint="eastAsia" w:ascii="仿宋_GB2312" w:hAnsi="仿宋_GB2312" w:cs="仿宋_GB2312"/>
        </w:rPr>
        <w:t>③每年12月底前完成监测点培训工作；</w:t>
      </w:r>
    </w:p>
    <w:p>
      <w:pPr>
        <w:pStyle w:val="28"/>
        <w:spacing w:line="560" w:lineRule="exact"/>
        <w:rPr>
          <w:rFonts w:hint="eastAsia" w:ascii="仿宋_GB2312" w:hAnsi="仿宋_GB2312" w:cs="仿宋_GB2312"/>
        </w:rPr>
      </w:pPr>
      <w:r>
        <w:rPr>
          <w:rFonts w:hint="eastAsia" w:ascii="仿宋_GB2312" w:hAnsi="仿宋_GB2312" w:cs="仿宋_GB2312"/>
        </w:rPr>
        <w:t>④完成监测总报告及分报告撰写，并保障成果转化；</w:t>
      </w:r>
    </w:p>
    <w:p>
      <w:pPr>
        <w:pStyle w:val="28"/>
        <w:spacing w:line="560" w:lineRule="exact"/>
        <w:rPr>
          <w:rFonts w:hint="eastAsia" w:ascii="仿宋_GB2312" w:hAnsi="仿宋_GB2312" w:cs="仿宋_GB2312"/>
        </w:rPr>
      </w:pPr>
      <w:r>
        <w:rPr>
          <w:rFonts w:hint="eastAsia" w:ascii="仿宋_GB2312" w:hAnsi="仿宋_GB2312" w:cs="仿宋_GB2312"/>
        </w:rPr>
        <w:t>⑤构建网页版与手机版两个信息填报系统，实现实时填报，实时监测，填报系统全程同步优化。</w:t>
      </w:r>
    </w:p>
    <w:p>
      <w:pPr>
        <w:pStyle w:val="28"/>
        <w:spacing w:line="560" w:lineRule="exact"/>
        <w:rPr>
          <w:rFonts w:hint="eastAsia" w:ascii="仿宋_GB2312" w:hAnsi="仿宋_GB2312" w:cs="仿宋_GB2312"/>
          <w:szCs w:val="22"/>
        </w:rPr>
      </w:pPr>
      <w:r>
        <w:rPr>
          <w:rFonts w:hint="eastAsia" w:ascii="仿宋_GB2312" w:hAnsi="仿宋_GB2312" w:cs="仿宋_GB2312"/>
          <w:szCs w:val="22"/>
        </w:rPr>
        <w:t>3.项目资金情况</w:t>
      </w:r>
    </w:p>
    <w:p>
      <w:pPr>
        <w:pStyle w:val="28"/>
        <w:spacing w:line="560" w:lineRule="exact"/>
        <w:rPr>
          <w:rFonts w:hint="eastAsia" w:ascii="仿宋_GB2312" w:hAnsi="仿宋_GB2312" w:cs="仿宋_GB2312"/>
          <w:szCs w:val="22"/>
        </w:rPr>
      </w:pPr>
      <w:r>
        <w:rPr>
          <w:rFonts w:hint="eastAsia" w:ascii="仿宋_GB2312"/>
        </w:rPr>
        <w:t>2024年2月，</w:t>
      </w:r>
      <w:r>
        <w:rPr>
          <w:rFonts w:hint="eastAsia" w:ascii="仿宋_GB2312" w:hAnsi="仿宋_GB2312" w:cs="仿宋_GB2312"/>
          <w:snapToGrid w:val="0"/>
        </w:rPr>
        <w:t>北京市财政局《关于批复北京市农村经济研究中心2024年预算的函》（京财农指〔2024〕0212号），批复该项目预算159.69</w:t>
      </w:r>
      <w:r>
        <w:rPr>
          <w:rFonts w:hint="eastAsia" w:ascii="仿宋_GB2312"/>
        </w:rPr>
        <w:t>万元，</w:t>
      </w:r>
      <w:r>
        <w:rPr>
          <w:rFonts w:hint="eastAsia" w:ascii="仿宋_GB2312" w:hAnsi="仿宋_GB2312" w:cs="仿宋_GB2312"/>
          <w:szCs w:val="22"/>
        </w:rPr>
        <w:t>2024年12月，北京市财政局《关于核减北京市农村经济研究中心部门预算的函》（京财农指〔2024〕2298号），核减该项目预算2.03万元，年度项目预算157.66万元，财政资金100%到位。</w:t>
      </w:r>
    </w:p>
    <w:p>
      <w:pPr>
        <w:pStyle w:val="28"/>
        <w:spacing w:line="560" w:lineRule="exact"/>
        <w:rPr>
          <w:rFonts w:hint="eastAsia" w:ascii="仿宋_GB2312" w:hAnsi="仿宋_GB2312" w:cs="仿宋_GB2312"/>
          <w:szCs w:val="22"/>
        </w:rPr>
      </w:pPr>
      <w:r>
        <w:rPr>
          <w:rFonts w:hint="eastAsia" w:ascii="仿宋_GB2312" w:hAnsi="仿宋_GB2312" w:cs="仿宋_GB2312"/>
          <w:szCs w:val="22"/>
        </w:rPr>
        <w:t>截至2024年12月31日，项目实际支出157.66万元，预算执行率为100%。</w:t>
      </w:r>
    </w:p>
    <w:p>
      <w:pPr>
        <w:spacing w:line="560" w:lineRule="exact"/>
        <w:ind w:firstLine="640" w:firstLineChars="200"/>
        <w:outlineLvl w:val="1"/>
        <w:rPr>
          <w:rFonts w:hint="eastAsia" w:ascii="楷体" w:hAnsi="楷体" w:eastAsia="楷体" w:cs="楷体"/>
          <w:sz w:val="32"/>
          <w:szCs w:val="32"/>
        </w:rPr>
      </w:pPr>
      <w:bookmarkStart w:id="7" w:name="_Toc23785"/>
      <w:r>
        <w:rPr>
          <w:rFonts w:hint="eastAsia" w:ascii="楷体" w:hAnsi="楷体" w:eastAsia="楷体" w:cs="楷体"/>
          <w:sz w:val="32"/>
          <w:szCs w:val="32"/>
        </w:rPr>
        <w:t>（二）项目绩效目标</w:t>
      </w:r>
      <w:bookmarkEnd w:id="7"/>
    </w:p>
    <w:p>
      <w:pPr>
        <w:pStyle w:val="28"/>
        <w:spacing w:line="560" w:lineRule="exact"/>
        <w:rPr>
          <w:rFonts w:hint="eastAsia" w:ascii="仿宋_GB2312" w:hAnsi="仿宋_GB2312" w:cs="仿宋_GB2312"/>
          <w:szCs w:val="22"/>
        </w:rPr>
      </w:pPr>
      <w:bookmarkStart w:id="8" w:name="_Hlk104457001"/>
      <w:bookmarkEnd w:id="8"/>
      <w:r>
        <w:rPr>
          <w:rFonts w:hint="eastAsia" w:ascii="仿宋_GB2312" w:hAnsi="仿宋_GB2312" w:cs="仿宋_GB2312"/>
          <w:szCs w:val="22"/>
        </w:rPr>
        <w:t>1.年度绩效总目标：</w:t>
      </w:r>
    </w:p>
    <w:p>
      <w:pPr>
        <w:pStyle w:val="28"/>
        <w:spacing w:line="560" w:lineRule="exact"/>
        <w:rPr>
          <w:rFonts w:hint="eastAsia" w:ascii="仿宋_GB2312" w:hAnsi="仿宋_GB2312" w:cs="仿宋_GB2312"/>
          <w:szCs w:val="22"/>
        </w:rPr>
      </w:pPr>
      <w:r>
        <w:rPr>
          <w:rFonts w:hint="eastAsia" w:ascii="仿宋_GB2312" w:hAnsi="仿宋_GB2312" w:cs="仿宋_GB2312"/>
          <w:szCs w:val="22"/>
        </w:rPr>
        <w:t>开展村集体经济运行变化的动态监测，构建服务决策咨询的精准、详实的数据库和案例库，并形成决策报告；提升监测系统的整体性能和效率，增加部分统计和分析功能。</w:t>
      </w:r>
    </w:p>
    <w:p>
      <w:pPr>
        <w:pStyle w:val="28"/>
        <w:spacing w:line="560" w:lineRule="exact"/>
        <w:rPr>
          <w:rFonts w:hint="eastAsia" w:ascii="仿宋_GB2312" w:hAnsi="仿宋_GB2312" w:cs="仿宋_GB2312"/>
          <w:szCs w:val="22"/>
        </w:rPr>
      </w:pPr>
      <w:r>
        <w:rPr>
          <w:rFonts w:hint="eastAsia" w:ascii="仿宋_GB2312" w:hAnsi="仿宋_GB2312" w:cs="仿宋_GB2312"/>
          <w:szCs w:val="22"/>
        </w:rPr>
        <w:t>2.绩效指标：</w:t>
      </w:r>
    </w:p>
    <w:p>
      <w:pPr>
        <w:pStyle w:val="28"/>
        <w:spacing w:line="560" w:lineRule="exact"/>
        <w:ind w:firstLine="643"/>
        <w:rPr>
          <w:rFonts w:hint="eastAsia" w:ascii="仿宋_GB2312" w:hAnsi="仿宋_GB2312" w:cs="仿宋_GB2312"/>
          <w:b/>
          <w:bCs/>
          <w:szCs w:val="22"/>
        </w:rPr>
      </w:pPr>
      <w:r>
        <w:rPr>
          <w:rFonts w:hint="eastAsia" w:ascii="仿宋_GB2312" w:hAnsi="仿宋_GB2312" w:cs="仿宋_GB2312"/>
          <w:b/>
          <w:bCs/>
          <w:szCs w:val="22"/>
        </w:rPr>
        <w:t>（1）产出指标</w:t>
      </w:r>
    </w:p>
    <w:p>
      <w:pPr>
        <w:pStyle w:val="28"/>
        <w:spacing w:line="560" w:lineRule="exact"/>
        <w:rPr>
          <w:rFonts w:hint="eastAsia" w:ascii="仿宋_GB2312" w:hAnsi="仿宋_GB2312" w:cs="仿宋_GB2312"/>
          <w:szCs w:val="22"/>
        </w:rPr>
      </w:pPr>
      <w:r>
        <w:rPr>
          <w:rFonts w:hint="eastAsia" w:ascii="仿宋_GB2312" w:hAnsi="仿宋_GB2312" w:cs="仿宋_GB2312"/>
          <w:szCs w:val="22"/>
        </w:rPr>
        <w:t>①数量指标：监测总报告1份；分报告3～6份；阶段性成果含发布信息、简报5篇</w:t>
      </w:r>
      <w:r>
        <w:rPr>
          <w:rFonts w:hint="eastAsia" w:ascii="仿宋_GB2312" w:hAnsi="仿宋_GB2312" w:cs="仿宋_GB2312"/>
          <w:szCs w:val="22"/>
          <w:lang w:val="en-US" w:eastAsia="zh-CN"/>
        </w:rPr>
        <w:t>≥6篇</w:t>
      </w:r>
      <w:r>
        <w:rPr>
          <w:rFonts w:hint="eastAsia" w:ascii="仿宋_GB2312" w:hAnsi="仿宋_GB2312" w:cs="仿宋_GB2312"/>
          <w:szCs w:val="22"/>
        </w:rPr>
        <w:t>。</w:t>
      </w:r>
    </w:p>
    <w:p>
      <w:pPr>
        <w:pStyle w:val="28"/>
        <w:spacing w:line="560" w:lineRule="exact"/>
        <w:rPr>
          <w:rFonts w:hint="eastAsia" w:ascii="仿宋_GB2312" w:hAnsi="仿宋_GB2312" w:cs="仿宋_GB2312"/>
          <w:szCs w:val="22"/>
        </w:rPr>
      </w:pPr>
      <w:r>
        <w:rPr>
          <w:rFonts w:hint="eastAsia" w:ascii="仿宋_GB2312" w:hAnsi="仿宋_GB2312" w:cs="仿宋_GB2312"/>
          <w:szCs w:val="22"/>
        </w:rPr>
        <w:t>②质量指标：按照农研中心研究成果标准通过项目验收。</w:t>
      </w:r>
    </w:p>
    <w:p>
      <w:pPr>
        <w:pStyle w:val="28"/>
        <w:spacing w:line="560" w:lineRule="exact"/>
        <w:rPr>
          <w:rFonts w:hint="eastAsia" w:ascii="仿宋_GB2312" w:hAnsi="仿宋_GB2312" w:cs="仿宋_GB2312"/>
          <w:szCs w:val="22"/>
        </w:rPr>
      </w:pPr>
      <w:r>
        <w:rPr>
          <w:rFonts w:hint="eastAsia" w:ascii="仿宋_GB2312" w:hAnsi="仿宋_GB2312" w:cs="仿宋_GB2312"/>
          <w:szCs w:val="22"/>
        </w:rPr>
        <w:t>③时效指标：2024年1-4月进行数据系统填报；2024年5月底前完成数据核查；2024年6月底前完成总报告撰写；2024年7-12月陆续完成成果转化；2024年12月底前完成专项培训；按时间进度完成支出进度，9月底前完成75%。</w:t>
      </w:r>
    </w:p>
    <w:p>
      <w:pPr>
        <w:pStyle w:val="28"/>
        <w:spacing w:line="560" w:lineRule="exact"/>
        <w:ind w:firstLine="643"/>
        <w:rPr>
          <w:rFonts w:hint="eastAsia" w:ascii="仿宋_GB2312" w:hAnsi="仿宋_GB2312" w:cs="仿宋_GB2312"/>
          <w:b/>
          <w:bCs/>
          <w:szCs w:val="22"/>
        </w:rPr>
      </w:pPr>
      <w:r>
        <w:rPr>
          <w:rFonts w:hint="eastAsia" w:ascii="仿宋_GB2312" w:hAnsi="仿宋_GB2312" w:cs="仿宋_GB2312"/>
          <w:b/>
          <w:bCs/>
          <w:szCs w:val="22"/>
        </w:rPr>
        <w:t>（2）成本指标</w:t>
      </w:r>
    </w:p>
    <w:p>
      <w:pPr>
        <w:pStyle w:val="28"/>
        <w:spacing w:line="560" w:lineRule="exact"/>
        <w:rPr>
          <w:rFonts w:hint="default" w:ascii="仿宋_GB2312" w:hAnsi="仿宋_GB2312" w:eastAsia="仿宋_GB2312" w:cs="仿宋_GB2312"/>
          <w:b/>
          <w:bCs/>
          <w:szCs w:val="22"/>
          <w:lang w:val="en-US" w:eastAsia="zh-CN"/>
        </w:rPr>
      </w:pPr>
      <w:r>
        <w:rPr>
          <w:rFonts w:hint="eastAsia" w:ascii="仿宋_GB2312" w:hAnsi="仿宋_GB2312" w:cs="仿宋_GB2312"/>
          <w:szCs w:val="22"/>
        </w:rPr>
        <w:t>①经济成本指标：</w:t>
      </w:r>
      <w:r>
        <w:rPr>
          <w:rFonts w:hint="eastAsia" w:ascii="仿宋_GB2312" w:hAnsi="仿宋_GB2312" w:cs="仿宋_GB2312"/>
          <w:szCs w:val="22"/>
          <w:lang w:eastAsia="zh-CN"/>
        </w:rPr>
        <w:t>项目控制数</w:t>
      </w:r>
      <w:r>
        <w:rPr>
          <w:rFonts w:hint="eastAsia" w:ascii="仿宋_GB2312" w:hAnsi="仿宋_GB2312" w:cs="仿宋_GB2312"/>
          <w:szCs w:val="22"/>
          <w:lang w:val="en-US" w:eastAsia="zh-CN"/>
        </w:rPr>
        <w:t>159.69万元。</w:t>
      </w:r>
    </w:p>
    <w:p>
      <w:pPr>
        <w:pStyle w:val="28"/>
        <w:spacing w:line="560" w:lineRule="exact"/>
        <w:ind w:firstLine="643"/>
        <w:rPr>
          <w:rFonts w:hint="eastAsia" w:ascii="仿宋_GB2312" w:hAnsi="仿宋_GB2312" w:cs="仿宋_GB2312"/>
          <w:b/>
          <w:bCs/>
          <w:szCs w:val="22"/>
        </w:rPr>
      </w:pPr>
      <w:r>
        <w:rPr>
          <w:rFonts w:hint="eastAsia" w:ascii="仿宋_GB2312" w:hAnsi="仿宋_GB2312" w:cs="仿宋_GB2312"/>
          <w:b/>
          <w:bCs/>
          <w:szCs w:val="22"/>
        </w:rPr>
        <w:t>（3）效益指标：</w:t>
      </w:r>
    </w:p>
    <w:p>
      <w:pPr>
        <w:pStyle w:val="28"/>
        <w:spacing w:line="560" w:lineRule="exact"/>
        <w:rPr>
          <w:rFonts w:hint="eastAsia" w:ascii="仿宋_GB2312" w:hAnsi="仿宋_GB2312" w:cs="仿宋_GB2312"/>
          <w:szCs w:val="22"/>
        </w:rPr>
      </w:pPr>
      <w:r>
        <w:rPr>
          <w:rFonts w:hint="eastAsia" w:ascii="仿宋_GB2312" w:hAnsi="仿宋_GB2312" w:cs="仿宋_GB2312"/>
          <w:szCs w:val="22"/>
        </w:rPr>
        <w:t>①生态效益指标：将人居环境作为重要观察内容，通过土地利用结构变动情况，动态监测农村居民人居环境水平。</w:t>
      </w:r>
    </w:p>
    <w:p>
      <w:pPr>
        <w:pStyle w:val="28"/>
        <w:spacing w:line="560" w:lineRule="exact"/>
        <w:rPr>
          <w:rFonts w:hint="eastAsia" w:ascii="仿宋_GB2312" w:hAnsi="仿宋_GB2312" w:cs="仿宋_GB2312"/>
          <w:szCs w:val="22"/>
        </w:rPr>
      </w:pPr>
      <w:r>
        <w:rPr>
          <w:rFonts w:hint="eastAsia" w:ascii="仿宋_GB2312" w:hAnsi="仿宋_GB2312" w:cs="仿宋_GB2312"/>
          <w:szCs w:val="22"/>
        </w:rPr>
        <w:t>②社会效益指标：结合改革试验示范工作，为监测点地区集体经济发展转型提供相应的服务、指导，以及政策辅导工作，推动监测点地区乡村振兴战略实施。</w:t>
      </w:r>
    </w:p>
    <w:p>
      <w:pPr>
        <w:pStyle w:val="28"/>
        <w:spacing w:line="560" w:lineRule="exact"/>
        <w:rPr>
          <w:rFonts w:hint="eastAsia" w:ascii="仿宋_GB2312" w:hAnsi="仿宋_GB2312" w:cs="仿宋_GB2312"/>
          <w:szCs w:val="22"/>
        </w:rPr>
      </w:pPr>
      <w:r>
        <w:rPr>
          <w:rFonts w:hint="eastAsia" w:ascii="仿宋_GB2312" w:hAnsi="仿宋_GB2312" w:cs="仿宋_GB2312"/>
          <w:szCs w:val="22"/>
        </w:rPr>
        <w:t>③经济效益指标：构建百村千户监测点数据库（案例库）及数据采集平台，为市委、市政府领导农村改革与发展提供及时、动态、便捷的信息和有力的决策依据，以“发展壮大集体所有制经济”作为观察重点，着力提升集体经济组织经营性收入水平。</w:t>
      </w:r>
    </w:p>
    <w:p>
      <w:pPr>
        <w:pStyle w:val="28"/>
        <w:spacing w:line="560" w:lineRule="exact"/>
        <w:rPr>
          <w:rFonts w:hint="eastAsia" w:ascii="仿宋_GB2312" w:hAnsi="仿宋_GB2312" w:cs="仿宋_GB2312"/>
          <w:szCs w:val="22"/>
        </w:rPr>
      </w:pPr>
      <w:r>
        <w:rPr>
          <w:rFonts w:hint="eastAsia" w:ascii="仿宋_GB2312" w:hAnsi="仿宋_GB2312" w:cs="仿宋_GB2312"/>
          <w:szCs w:val="22"/>
        </w:rPr>
        <w:t>④可持续影响指标：长期动态跟踪监测村集体经济发展运行状况，为市委、市政府领导农村改革与发展提供动态、及时的信息和有力的决策依据。</w:t>
      </w:r>
    </w:p>
    <w:p>
      <w:pPr>
        <w:pStyle w:val="28"/>
        <w:spacing w:line="560" w:lineRule="exact"/>
        <w:ind w:firstLine="643"/>
        <w:rPr>
          <w:rFonts w:hint="eastAsia" w:ascii="仿宋_GB2312" w:hAnsi="仿宋_GB2312" w:cs="仿宋_GB2312"/>
          <w:b/>
          <w:bCs/>
          <w:szCs w:val="22"/>
        </w:rPr>
      </w:pPr>
      <w:r>
        <w:rPr>
          <w:rFonts w:hint="eastAsia" w:ascii="仿宋_GB2312" w:hAnsi="仿宋_GB2312" w:cs="仿宋_GB2312"/>
          <w:b/>
          <w:bCs/>
          <w:szCs w:val="22"/>
        </w:rPr>
        <w:t>（4）满意度指标</w:t>
      </w:r>
    </w:p>
    <w:p>
      <w:pPr>
        <w:pStyle w:val="28"/>
        <w:spacing w:line="560" w:lineRule="exact"/>
        <w:rPr>
          <w:rFonts w:hint="eastAsia" w:ascii="仿宋_GB2312" w:hAnsi="仿宋_GB2312" w:cs="仿宋_GB2312"/>
          <w:szCs w:val="22"/>
        </w:rPr>
      </w:pPr>
      <w:r>
        <w:rPr>
          <w:rFonts w:hint="eastAsia" w:ascii="仿宋_GB2312" w:hAnsi="仿宋_GB2312" w:cs="仿宋_GB2312"/>
          <w:szCs w:val="22"/>
          <w:lang w:val="en-US" w:eastAsia="zh-CN"/>
        </w:rPr>
        <w:t>①</w:t>
      </w:r>
      <w:r>
        <w:rPr>
          <w:rFonts w:hint="eastAsia" w:ascii="仿宋_GB2312" w:hAnsi="仿宋_GB2312" w:cs="仿宋_GB2312"/>
          <w:szCs w:val="22"/>
        </w:rPr>
        <w:t>服务对象满意度指标：培训对象对百村监测工作培训工作满意度达到良好及以上，总结典型经验，促进配套政策落地。</w:t>
      </w:r>
    </w:p>
    <w:p>
      <w:pPr>
        <w:spacing w:line="560" w:lineRule="exact"/>
        <w:ind w:firstLine="640" w:firstLineChars="200"/>
        <w:outlineLvl w:val="0"/>
        <w:rPr>
          <w:rFonts w:eastAsia="黑体"/>
          <w:bCs/>
          <w:kern w:val="0"/>
          <w:sz w:val="32"/>
          <w:szCs w:val="28"/>
          <w:lang w:eastAsia="zh-Hans"/>
        </w:rPr>
      </w:pPr>
      <w:bookmarkStart w:id="9" w:name="_Toc3347"/>
      <w:bookmarkStart w:id="10" w:name="_Toc26737"/>
      <w:r>
        <w:rPr>
          <w:rFonts w:eastAsia="黑体"/>
          <w:bCs/>
          <w:kern w:val="0"/>
          <w:sz w:val="32"/>
          <w:szCs w:val="28"/>
          <w:lang w:eastAsia="zh-Hans"/>
        </w:rPr>
        <w:t>二、绩效评价工作开展情况</w:t>
      </w:r>
      <w:bookmarkEnd w:id="9"/>
      <w:bookmarkEnd w:id="10"/>
    </w:p>
    <w:p>
      <w:pPr>
        <w:spacing w:line="560" w:lineRule="exact"/>
        <w:ind w:firstLine="640" w:firstLineChars="200"/>
        <w:outlineLvl w:val="1"/>
        <w:rPr>
          <w:rFonts w:eastAsia="楷体"/>
          <w:bCs/>
          <w:sz w:val="32"/>
          <w:szCs w:val="32"/>
        </w:rPr>
      </w:pPr>
      <w:bookmarkStart w:id="11" w:name="_Toc24027"/>
      <w:bookmarkStart w:id="12" w:name="_Toc24805"/>
      <w:r>
        <w:rPr>
          <w:rFonts w:eastAsia="楷体"/>
          <w:bCs/>
          <w:sz w:val="32"/>
          <w:szCs w:val="32"/>
        </w:rPr>
        <w:t>（一）绩效评价目的、对象和范围</w:t>
      </w:r>
      <w:bookmarkEnd w:id="11"/>
      <w:bookmarkEnd w:id="12"/>
    </w:p>
    <w:p>
      <w:pPr>
        <w:pStyle w:val="28"/>
        <w:spacing w:line="560" w:lineRule="exact"/>
        <w:rPr>
          <w:rFonts w:hint="eastAsia" w:ascii="仿宋_GB2312" w:hAnsi="仿宋_GB2312" w:cs="仿宋_GB2312"/>
          <w:szCs w:val="22"/>
        </w:rPr>
      </w:pPr>
      <w:r>
        <w:rPr>
          <w:rFonts w:hint="eastAsia" w:ascii="仿宋_GB2312" w:hAnsi="仿宋_GB2312" w:cs="仿宋_GB2312"/>
          <w:szCs w:val="22"/>
        </w:rPr>
        <w:t>1.评价目的</w:t>
      </w:r>
    </w:p>
    <w:p>
      <w:pPr>
        <w:pStyle w:val="28"/>
        <w:spacing w:line="560" w:lineRule="exact"/>
        <w:rPr>
          <w:rFonts w:hint="eastAsia" w:ascii="仿宋_GB2312" w:hAnsi="仿宋_GB2312" w:cs="仿宋_GB2312"/>
          <w:szCs w:val="22"/>
        </w:rPr>
      </w:pPr>
      <w:bookmarkStart w:id="13" w:name="_Toc72117816"/>
      <w:bookmarkStart w:id="14" w:name="_Toc72129831"/>
      <w:r>
        <w:rPr>
          <w:rFonts w:hint="eastAsia" w:ascii="仿宋_GB2312" w:hAnsi="仿宋_GB2312" w:cs="仿宋_GB2312"/>
          <w:szCs w:val="22"/>
        </w:rPr>
        <w:t>通过开展项目绩效评价，对该项目整体情况进行分析，全面、客观地反映项目单位的工作成效，对项目决策、项目过程、项目产出、项目效益四个方面存在的不足提出合理化建议，使预算绩效管理更加科学、规范，提高项目预算绩效管理水平和财政资金使用效益和效率。</w:t>
      </w:r>
    </w:p>
    <w:bookmarkEnd w:id="13"/>
    <w:bookmarkEnd w:id="14"/>
    <w:p>
      <w:pPr>
        <w:pStyle w:val="28"/>
        <w:spacing w:line="560" w:lineRule="exact"/>
        <w:rPr>
          <w:rFonts w:hint="eastAsia" w:ascii="仿宋_GB2312" w:hAnsi="仿宋_GB2312" w:cs="仿宋_GB2312"/>
          <w:szCs w:val="22"/>
        </w:rPr>
      </w:pPr>
      <w:r>
        <w:rPr>
          <w:rFonts w:hint="eastAsia" w:ascii="仿宋_GB2312" w:hAnsi="仿宋_GB2312" w:cs="仿宋_GB2312"/>
          <w:szCs w:val="22"/>
        </w:rPr>
        <w:t>2.评价对象和范围</w:t>
      </w:r>
    </w:p>
    <w:p>
      <w:pPr>
        <w:pStyle w:val="28"/>
        <w:spacing w:line="560" w:lineRule="exact"/>
        <w:rPr>
          <w:rFonts w:hint="eastAsia" w:ascii="仿宋_GB2312" w:hAnsi="仿宋_GB2312" w:cs="仿宋_GB2312"/>
          <w:szCs w:val="22"/>
        </w:rPr>
      </w:pPr>
      <w:r>
        <w:rPr>
          <w:rFonts w:hint="eastAsia" w:ascii="仿宋_GB2312" w:hAnsi="仿宋_GB2312" w:cs="仿宋_GB2312"/>
          <w:szCs w:val="22"/>
        </w:rPr>
        <w:t>对北京郊区100个村集体经济运行状况跟踪监测项目157.66万元的资金支出情况开展绩效评价。</w:t>
      </w:r>
    </w:p>
    <w:p>
      <w:pPr>
        <w:spacing w:line="560" w:lineRule="exact"/>
        <w:ind w:firstLine="640" w:firstLineChars="200"/>
        <w:outlineLvl w:val="1"/>
        <w:rPr>
          <w:rFonts w:hint="eastAsia" w:ascii="楷体" w:hAnsi="楷体" w:eastAsia="楷体" w:cs="楷体"/>
          <w:kern w:val="0"/>
          <w:sz w:val="32"/>
          <w:szCs w:val="32"/>
        </w:rPr>
      </w:pPr>
      <w:bookmarkStart w:id="15" w:name="_Toc28119"/>
      <w:bookmarkStart w:id="16" w:name="_Toc11892"/>
      <w:r>
        <w:rPr>
          <w:rFonts w:hint="eastAsia" w:ascii="楷体" w:hAnsi="楷体" w:eastAsia="楷体" w:cs="楷体"/>
          <w:kern w:val="0"/>
          <w:sz w:val="32"/>
          <w:szCs w:val="32"/>
        </w:rPr>
        <w:t>（二）</w:t>
      </w:r>
      <w:bookmarkEnd w:id="15"/>
      <w:bookmarkEnd w:id="16"/>
      <w:r>
        <w:rPr>
          <w:rFonts w:hint="eastAsia" w:ascii="楷体" w:hAnsi="楷体" w:eastAsia="楷体"/>
          <w:bCs/>
          <w:kern w:val="0"/>
          <w:sz w:val="32"/>
          <w:szCs w:val="28"/>
        </w:rPr>
        <w:t>绩效评价基本情况</w:t>
      </w:r>
    </w:p>
    <w:p>
      <w:pPr>
        <w:pStyle w:val="28"/>
        <w:spacing w:line="560" w:lineRule="exact"/>
        <w:rPr>
          <w:rFonts w:hint="eastAsia" w:ascii="仿宋_GB2312" w:hAnsi="仿宋_GB2312" w:cs="仿宋_GB2312"/>
          <w:szCs w:val="22"/>
        </w:rPr>
      </w:pPr>
      <w:bookmarkStart w:id="17" w:name="_Hlk104457831"/>
      <w:bookmarkStart w:id="18" w:name="_Toc32009"/>
      <w:bookmarkStart w:id="19" w:name="_Toc19907"/>
      <w:r>
        <w:rPr>
          <w:rFonts w:hint="eastAsia" w:ascii="仿宋_GB2312" w:hAnsi="仿宋_GB2312" w:cs="仿宋_GB2312"/>
          <w:szCs w:val="22"/>
        </w:rPr>
        <w:t>1.绩效评价原则及方法</w:t>
      </w:r>
    </w:p>
    <w:p>
      <w:pPr>
        <w:pStyle w:val="28"/>
        <w:spacing w:line="560" w:lineRule="exact"/>
        <w:rPr>
          <w:rFonts w:hint="eastAsia" w:ascii="仿宋_GB2312" w:hAnsi="仿宋_GB2312" w:cs="仿宋_GB2312"/>
          <w:szCs w:val="22"/>
        </w:rPr>
      </w:pPr>
      <w:bookmarkStart w:id="20" w:name="_Toc104449872"/>
      <w:bookmarkStart w:id="21" w:name="_Toc72117819"/>
      <w:bookmarkStart w:id="22" w:name="_Toc72129834"/>
      <w:r>
        <w:rPr>
          <w:rFonts w:hint="eastAsia" w:ascii="仿宋_GB2312" w:hAnsi="仿宋_GB2312" w:cs="仿宋_GB2312"/>
          <w:szCs w:val="22"/>
        </w:rPr>
        <w:t>本次绩效评价遵循“客观、公正、科学、规范”的原则，结合项目的特点，采用比较法、因素分析法、专家评议法等方法，通过定性与定量相结合，从项目决策、项目过程、项目产出、项目效益四个方面对本项目开展绩效评价。</w:t>
      </w:r>
      <w:bookmarkEnd w:id="20"/>
      <w:bookmarkEnd w:id="21"/>
      <w:bookmarkEnd w:id="22"/>
    </w:p>
    <w:p>
      <w:pPr>
        <w:pStyle w:val="28"/>
        <w:spacing w:line="560" w:lineRule="exact"/>
        <w:rPr>
          <w:rFonts w:hint="eastAsia" w:ascii="仿宋_GB2312" w:hAnsi="仿宋_GB2312" w:cs="仿宋_GB2312"/>
          <w:szCs w:val="22"/>
        </w:rPr>
      </w:pPr>
      <w:r>
        <w:rPr>
          <w:rFonts w:hint="eastAsia" w:ascii="仿宋_GB2312" w:hAnsi="仿宋_GB2312" w:cs="仿宋_GB2312"/>
          <w:szCs w:val="22"/>
        </w:rPr>
        <w:t>2.绩效评价指标体系</w:t>
      </w:r>
    </w:p>
    <w:bookmarkEnd w:id="17"/>
    <w:p>
      <w:pPr>
        <w:pStyle w:val="28"/>
        <w:spacing w:line="560" w:lineRule="exact"/>
        <w:rPr>
          <w:rFonts w:hint="eastAsia" w:ascii="仿宋_GB2312" w:hAnsi="仿宋_GB2312" w:cs="仿宋_GB2312"/>
          <w:szCs w:val="22"/>
        </w:rPr>
      </w:pPr>
      <w:r>
        <w:rPr>
          <w:rFonts w:hint="eastAsia" w:ascii="仿宋_GB2312" w:hAnsi="仿宋_GB2312" w:cs="仿宋_GB2312"/>
          <w:szCs w:val="22"/>
        </w:rPr>
        <w:t>绩效评价指标体系主要包括项目决策、项目过程、项目产出、项目效益四个方面，满分100分。其中：决策指标（10分），主要评价项目立项、绩效目标和资金投入内容；过程指标（20分），主要评价项目资金管理和组织实施内容；产出指标（40分），主要评价项目产出数量、产出质量、产出时效和产出成本；效益指标（30分），主要评价项目产生的社会效益、经济效益、生态效益、可持续影响和服务对象满意度内容。绩效评价指标体系详见附件。</w:t>
      </w:r>
    </w:p>
    <w:p>
      <w:pPr>
        <w:pStyle w:val="28"/>
        <w:spacing w:line="560" w:lineRule="exact"/>
        <w:rPr>
          <w:rFonts w:hint="eastAsia" w:ascii="仿宋_GB2312" w:hAnsi="仿宋_GB2312" w:cs="仿宋_GB2312"/>
          <w:szCs w:val="22"/>
        </w:rPr>
      </w:pPr>
      <w:bookmarkStart w:id="23" w:name="_Toc72129835"/>
      <w:bookmarkEnd w:id="23"/>
      <w:bookmarkStart w:id="24" w:name="_Toc104449873"/>
      <w:bookmarkEnd w:id="24"/>
      <w:bookmarkStart w:id="25" w:name="_Toc72117820"/>
      <w:bookmarkEnd w:id="25"/>
      <w:r>
        <w:rPr>
          <w:rFonts w:hint="eastAsia" w:ascii="仿宋_GB2312" w:hAnsi="仿宋_GB2312" w:cs="仿宋_GB2312"/>
          <w:szCs w:val="22"/>
        </w:rPr>
        <w:t>3.评价标准</w:t>
      </w:r>
    </w:p>
    <w:p>
      <w:pPr>
        <w:pStyle w:val="28"/>
        <w:spacing w:line="560" w:lineRule="exact"/>
        <w:rPr>
          <w:rFonts w:hint="eastAsia" w:ascii="仿宋_GB2312" w:hAnsi="仿宋_GB2312" w:cs="仿宋_GB2312"/>
          <w:szCs w:val="22"/>
        </w:rPr>
      </w:pPr>
      <w:r>
        <w:rPr>
          <w:rFonts w:hint="eastAsia" w:ascii="仿宋_GB2312" w:hAnsi="仿宋_GB2312" w:cs="仿宋_GB2312"/>
          <w:szCs w:val="22"/>
        </w:rPr>
        <w:t>本次绩效评价标准为计划标准，以该项目预先制定的目标、计划、预算作为评价标准，对绩效指标完成情况进行比较。</w:t>
      </w:r>
    </w:p>
    <w:p>
      <w:pPr>
        <w:spacing w:line="560" w:lineRule="exact"/>
        <w:ind w:firstLine="640" w:firstLineChars="200"/>
        <w:outlineLvl w:val="1"/>
        <w:rPr>
          <w:rFonts w:hint="eastAsia" w:ascii="楷体" w:hAnsi="楷体" w:eastAsia="楷体" w:cs="楷体"/>
          <w:kern w:val="0"/>
          <w:sz w:val="32"/>
          <w:szCs w:val="32"/>
        </w:rPr>
      </w:pPr>
      <w:r>
        <w:rPr>
          <w:rFonts w:hint="eastAsia" w:ascii="楷体" w:hAnsi="楷体" w:eastAsia="楷体" w:cs="楷体"/>
          <w:kern w:val="0"/>
          <w:sz w:val="32"/>
          <w:szCs w:val="32"/>
        </w:rPr>
        <w:t>（三）绩效评价工作过程</w:t>
      </w:r>
      <w:bookmarkEnd w:id="18"/>
      <w:bookmarkEnd w:id="19"/>
    </w:p>
    <w:p>
      <w:pPr>
        <w:pStyle w:val="28"/>
        <w:spacing w:line="560" w:lineRule="exact"/>
        <w:rPr>
          <w:rFonts w:hint="eastAsia" w:ascii="仿宋_GB2312" w:hAnsi="仿宋_GB2312" w:cs="仿宋_GB2312"/>
          <w:szCs w:val="22"/>
        </w:rPr>
      </w:pPr>
      <w:r>
        <w:rPr>
          <w:rFonts w:hint="eastAsia" w:ascii="仿宋_GB2312" w:hAnsi="仿宋_GB2312" w:cs="仿宋_GB2312"/>
          <w:szCs w:val="22"/>
        </w:rPr>
        <w:t>本次绩效评价工作在成立评价工作组后，采用函评的方式，对项目资料进行逐一核实，了解项目资金的使用和取得的效益情况，最终根据绩效评价前期沟通及收集资料情况，经征求专家意见形成绩效评价报告。</w:t>
      </w:r>
    </w:p>
    <w:p>
      <w:pPr>
        <w:spacing w:line="560" w:lineRule="exact"/>
        <w:ind w:firstLine="640" w:firstLineChars="200"/>
        <w:outlineLvl w:val="0"/>
        <w:rPr>
          <w:rFonts w:hint="eastAsia" w:ascii="黑体" w:hAnsi="黑体" w:eastAsia="黑体" w:cs="黑体"/>
          <w:kern w:val="0"/>
          <w:sz w:val="32"/>
          <w:szCs w:val="32"/>
          <w:lang w:eastAsia="zh-Hans"/>
        </w:rPr>
      </w:pPr>
      <w:bookmarkStart w:id="26" w:name="_Toc29855"/>
      <w:bookmarkStart w:id="27" w:name="_Toc7330"/>
      <w:r>
        <w:rPr>
          <w:rFonts w:hint="eastAsia" w:ascii="黑体" w:hAnsi="黑体" w:eastAsia="黑体" w:cs="黑体"/>
          <w:kern w:val="0"/>
          <w:sz w:val="32"/>
          <w:szCs w:val="32"/>
          <w:lang w:eastAsia="zh-Hans"/>
        </w:rPr>
        <w:t>三、综合评价情况及评价结论</w:t>
      </w:r>
      <w:bookmarkEnd w:id="26"/>
      <w:bookmarkEnd w:id="27"/>
    </w:p>
    <w:p>
      <w:pPr>
        <w:pStyle w:val="28"/>
        <w:spacing w:line="560" w:lineRule="exact"/>
        <w:rPr>
          <w:rFonts w:hint="eastAsia" w:ascii="仿宋_GB2312" w:hAnsi="仿宋_GB2312" w:cs="仿宋_GB2312"/>
          <w:szCs w:val="22"/>
        </w:rPr>
      </w:pPr>
      <w:r>
        <w:rPr>
          <w:rFonts w:hint="eastAsia" w:ascii="仿宋_GB2312" w:hAnsi="仿宋_GB2312" w:cs="仿宋_GB2312"/>
          <w:szCs w:val="22"/>
        </w:rPr>
        <w:t>经综合评价，该项目绩效评价综合得分84.87分，绩效评定级别为“良好”。其中，项目决策得分9.20分，项目过程得分18.17分，项目产出得分33.33分，项目效益得分24.17分。</w:t>
      </w:r>
    </w:p>
    <w:p>
      <w:pPr>
        <w:spacing w:line="560" w:lineRule="exact"/>
        <w:ind w:firstLine="642" w:firstLineChars="200"/>
        <w:jc w:val="center"/>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rPr>
        <w:t>项目绩效评价</w:t>
      </w:r>
      <w:r>
        <w:rPr>
          <w:rFonts w:hint="eastAsia" w:ascii="仿宋_GB2312" w:eastAsia="仿宋_GB2312"/>
          <w:b/>
          <w:bCs/>
          <w:sz w:val="32"/>
          <w:szCs w:val="32"/>
        </w:rPr>
        <w:t>结论一览表</w:t>
      </w:r>
    </w:p>
    <w:tbl>
      <w:tblPr>
        <w:tblStyle w:val="15"/>
        <w:tblW w:w="8839"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3408"/>
        <w:gridCol w:w="2799"/>
        <w:gridCol w:w="2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blHeader/>
        </w:trPr>
        <w:tc>
          <w:tcPr>
            <w:tcW w:w="3408" w:type="dxa"/>
            <w:shd w:val="clear" w:color="auto" w:fill="auto"/>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评价内容</w:t>
            </w:r>
          </w:p>
        </w:tc>
        <w:tc>
          <w:tcPr>
            <w:tcW w:w="2799" w:type="dxa"/>
            <w:shd w:val="clear" w:color="auto" w:fill="auto"/>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分值</w:t>
            </w:r>
          </w:p>
        </w:tc>
        <w:tc>
          <w:tcPr>
            <w:tcW w:w="2632" w:type="dxa"/>
            <w:shd w:val="clear" w:color="auto" w:fill="auto"/>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3408" w:type="dxa"/>
            <w:vAlign w:val="center"/>
          </w:tcPr>
          <w:p>
            <w:pPr>
              <w:pStyle w:val="2"/>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项目决策</w:t>
            </w:r>
          </w:p>
        </w:tc>
        <w:tc>
          <w:tcPr>
            <w:tcW w:w="2799"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10</w:t>
            </w:r>
          </w:p>
        </w:tc>
        <w:tc>
          <w:tcPr>
            <w:tcW w:w="2632"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3408"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项目过程</w:t>
            </w:r>
          </w:p>
        </w:tc>
        <w:tc>
          <w:tcPr>
            <w:tcW w:w="2799"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20</w:t>
            </w:r>
          </w:p>
        </w:tc>
        <w:tc>
          <w:tcPr>
            <w:tcW w:w="2632"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18.17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3408"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项目产出</w:t>
            </w:r>
          </w:p>
        </w:tc>
        <w:tc>
          <w:tcPr>
            <w:tcW w:w="2799"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40</w:t>
            </w:r>
          </w:p>
        </w:tc>
        <w:tc>
          <w:tcPr>
            <w:tcW w:w="2632"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33.33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3408"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项目效益</w:t>
            </w:r>
          </w:p>
        </w:tc>
        <w:tc>
          <w:tcPr>
            <w:tcW w:w="2799"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30</w:t>
            </w:r>
          </w:p>
        </w:tc>
        <w:tc>
          <w:tcPr>
            <w:tcW w:w="2632"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24.17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3408"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综合得分</w:t>
            </w:r>
          </w:p>
        </w:tc>
        <w:tc>
          <w:tcPr>
            <w:tcW w:w="2799"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100</w:t>
            </w:r>
          </w:p>
        </w:tc>
        <w:tc>
          <w:tcPr>
            <w:tcW w:w="2632"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84.87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3408" w:type="dxa"/>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绩效评定级别</w:t>
            </w:r>
          </w:p>
        </w:tc>
        <w:tc>
          <w:tcPr>
            <w:tcW w:w="5431" w:type="dxa"/>
            <w:gridSpan w:val="2"/>
            <w:vAlign w:val="center"/>
          </w:tcPr>
          <w:p>
            <w:pPr>
              <w:adjustRightInd w:val="0"/>
              <w:snapToGrid w:val="0"/>
              <w:spacing w:line="560" w:lineRule="exact"/>
              <w:ind w:firstLine="560" w:firstLineChars="200"/>
              <w:jc w:val="center"/>
              <w:rPr>
                <w:rFonts w:hint="eastAsia" w:ascii="宋体" w:hAnsi="宋体" w:cs="宋体"/>
                <w:bCs/>
                <w:sz w:val="28"/>
                <w:szCs w:val="28"/>
              </w:rPr>
            </w:pPr>
            <w:r>
              <w:rPr>
                <w:rFonts w:hint="eastAsia" w:ascii="宋体" w:hAnsi="宋体" w:cs="宋体"/>
                <w:bCs/>
                <w:sz w:val="28"/>
                <w:szCs w:val="28"/>
              </w:rPr>
              <w:t>良好</w:t>
            </w:r>
          </w:p>
        </w:tc>
      </w:tr>
    </w:tbl>
    <w:p>
      <w:pPr>
        <w:spacing w:before="156" w:beforeLines="50" w:line="560" w:lineRule="exact"/>
        <w:ind w:firstLine="640" w:firstLineChars="200"/>
        <w:outlineLvl w:val="0"/>
        <w:rPr>
          <w:rFonts w:eastAsia="黑体"/>
          <w:bCs/>
          <w:kern w:val="0"/>
          <w:sz w:val="32"/>
          <w:szCs w:val="28"/>
          <w:lang w:eastAsia="zh-Hans"/>
        </w:rPr>
      </w:pPr>
      <w:bookmarkStart w:id="28" w:name="_Toc6986"/>
      <w:bookmarkStart w:id="29" w:name="_Toc13967"/>
      <w:r>
        <w:rPr>
          <w:rFonts w:eastAsia="黑体"/>
          <w:bCs/>
          <w:kern w:val="0"/>
          <w:sz w:val="32"/>
          <w:szCs w:val="28"/>
          <w:lang w:eastAsia="zh-Hans"/>
        </w:rPr>
        <w:t>四、绩效评价指标分析</w:t>
      </w:r>
      <w:bookmarkEnd w:id="28"/>
      <w:bookmarkEnd w:id="29"/>
    </w:p>
    <w:p>
      <w:pPr>
        <w:spacing w:line="560" w:lineRule="exact"/>
        <w:ind w:firstLine="640" w:firstLineChars="200"/>
        <w:outlineLvl w:val="1"/>
        <w:rPr>
          <w:rFonts w:hint="eastAsia" w:ascii="楷体" w:hAnsi="楷体" w:eastAsia="楷体" w:cs="楷体"/>
          <w:bCs/>
          <w:kern w:val="0"/>
          <w:sz w:val="32"/>
          <w:szCs w:val="28"/>
        </w:rPr>
      </w:pPr>
      <w:bookmarkStart w:id="30" w:name="_Toc30713"/>
      <w:bookmarkStart w:id="31" w:name="_Toc16026"/>
      <w:r>
        <w:rPr>
          <w:rFonts w:hint="eastAsia" w:ascii="楷体" w:hAnsi="楷体" w:eastAsia="楷体" w:cs="楷体"/>
          <w:bCs/>
          <w:kern w:val="0"/>
          <w:sz w:val="32"/>
          <w:szCs w:val="28"/>
        </w:rPr>
        <w:t>（一）项目决策情况</w:t>
      </w:r>
      <w:bookmarkEnd w:id="30"/>
      <w:bookmarkEnd w:id="31"/>
    </w:p>
    <w:p>
      <w:pPr>
        <w:pStyle w:val="28"/>
        <w:spacing w:line="560" w:lineRule="exact"/>
        <w:rPr>
          <w:rFonts w:hint="eastAsia" w:ascii="仿宋_GB2312" w:hAnsi="仿宋_GB2312" w:cs="仿宋_GB2312"/>
          <w:szCs w:val="22"/>
        </w:rPr>
      </w:pPr>
      <w:r>
        <w:rPr>
          <w:rFonts w:hint="eastAsia" w:ascii="仿宋_GB2312" w:hAnsi="仿宋_GB2312" w:cs="仿宋_GB2312"/>
          <w:szCs w:val="22"/>
        </w:rPr>
        <w:t>项目决策指标，满分10分，评价得分为9.2分。</w:t>
      </w:r>
    </w:p>
    <w:p>
      <w:pPr>
        <w:pStyle w:val="28"/>
        <w:spacing w:line="560" w:lineRule="exact"/>
        <w:rPr>
          <w:rFonts w:hint="eastAsia" w:ascii="仿宋_GB2312" w:hAnsi="仿宋_GB2312" w:cs="仿宋_GB2312"/>
          <w:szCs w:val="22"/>
        </w:rPr>
      </w:pPr>
      <w:r>
        <w:rPr>
          <w:rFonts w:hint="eastAsia" w:ascii="仿宋_GB2312" w:hAnsi="仿宋_GB2312" w:cs="仿宋_GB2312"/>
          <w:szCs w:val="22"/>
        </w:rPr>
        <w:t>该项目符合《中华人民共和国乡村振兴促进法》《北京市“十四五”时期乡村振兴战略实施规划》中关于开展乡村振兴战略实施监测分析的规定，决策依据比较充分，立项程序规范，但项目的决策规范性不足，在可行论证阶段被委托单位不应提前介入参与。该</w:t>
      </w:r>
      <w:r>
        <w:rPr>
          <w:rFonts w:ascii="仿宋_GB2312" w:hAnsi="仿宋_GB2312" w:cs="仿宋_GB2312"/>
          <w:szCs w:val="22"/>
        </w:rPr>
        <w:t>项目</w:t>
      </w:r>
      <w:r>
        <w:rPr>
          <w:rFonts w:hint="eastAsia" w:ascii="仿宋_GB2312" w:hAnsi="仿宋_GB2312" w:cs="仿宋_GB2312"/>
          <w:szCs w:val="22"/>
        </w:rPr>
        <w:t>绩效</w:t>
      </w:r>
      <w:r>
        <w:rPr>
          <w:rFonts w:ascii="仿宋_GB2312" w:hAnsi="仿宋_GB2312" w:cs="仿宋_GB2312"/>
          <w:szCs w:val="22"/>
        </w:rPr>
        <w:t>指标的设定缺乏合理性，</w:t>
      </w:r>
      <w:r>
        <w:rPr>
          <w:rFonts w:hint="eastAsia" w:ascii="仿宋_GB2312" w:hAnsi="仿宋_GB2312" w:cs="仿宋_GB2312"/>
          <w:szCs w:val="22"/>
        </w:rPr>
        <w:t>科学性和可衡量性，</w:t>
      </w:r>
      <w:r>
        <w:rPr>
          <w:rFonts w:ascii="仿宋_GB2312" w:hAnsi="仿宋_GB2312" w:cs="仿宋_GB2312"/>
          <w:szCs w:val="22"/>
        </w:rPr>
        <w:t>指标体系不够全面，</w:t>
      </w:r>
      <w:r>
        <w:rPr>
          <w:rFonts w:hint="eastAsia" w:ascii="仿宋_GB2312" w:hAnsi="仿宋_GB2312" w:cs="仿宋_GB2312"/>
          <w:szCs w:val="22"/>
        </w:rPr>
        <w:t>预算金额测算不够精准，质量指标、</w:t>
      </w:r>
      <w:r>
        <w:rPr>
          <w:rFonts w:ascii="仿宋_GB2312" w:hAnsi="仿宋_GB2312" w:cs="仿宋_GB2312"/>
          <w:szCs w:val="22"/>
        </w:rPr>
        <w:t>可持续指标和社会效益指标量化不足</w:t>
      </w:r>
      <w:r>
        <w:rPr>
          <w:rFonts w:hint="eastAsia" w:ascii="仿宋_GB2312" w:hAnsi="仿宋_GB2312" w:cs="仿宋_GB2312"/>
          <w:szCs w:val="22"/>
        </w:rPr>
        <w:t>。</w:t>
      </w:r>
    </w:p>
    <w:p>
      <w:pPr>
        <w:spacing w:line="560" w:lineRule="exact"/>
        <w:ind w:firstLine="640" w:firstLineChars="200"/>
        <w:outlineLvl w:val="1"/>
        <w:rPr>
          <w:rFonts w:hint="eastAsia" w:ascii="楷体" w:hAnsi="楷体" w:eastAsia="楷体" w:cs="楷体"/>
          <w:bCs/>
          <w:kern w:val="0"/>
          <w:sz w:val="32"/>
          <w:szCs w:val="28"/>
        </w:rPr>
      </w:pPr>
      <w:bookmarkStart w:id="32" w:name="_Toc18606"/>
      <w:bookmarkStart w:id="33" w:name="_Toc9491"/>
      <w:r>
        <w:rPr>
          <w:rFonts w:hint="eastAsia" w:ascii="楷体" w:hAnsi="楷体" w:eastAsia="楷体" w:cs="楷体"/>
          <w:bCs/>
          <w:kern w:val="0"/>
          <w:sz w:val="32"/>
          <w:szCs w:val="28"/>
        </w:rPr>
        <w:t>（二）项目过程情况</w:t>
      </w:r>
      <w:bookmarkEnd w:id="32"/>
      <w:bookmarkEnd w:id="33"/>
    </w:p>
    <w:p>
      <w:pPr>
        <w:pStyle w:val="28"/>
        <w:spacing w:line="560" w:lineRule="exact"/>
        <w:rPr>
          <w:rFonts w:hint="eastAsia"/>
        </w:rPr>
      </w:pPr>
      <w:r>
        <w:rPr>
          <w:rFonts w:hint="eastAsia" w:ascii="仿宋_GB2312" w:hAnsi="仿宋_GB2312" w:cs="仿宋_GB2312"/>
          <w:szCs w:val="22"/>
        </w:rPr>
        <w:t>项目过程指标，满分20分，评价得分为18.17分。在资金管理方面，项目资金及时足额到位，按照项目预算批复的范围，大部分经济业务根据单位资金支出的相关规定进行支出审批，但个别培训费和咨询费的支出合理性不足；在项目实施方面，该项目制定了实施方案，但缺少组织机构和职责分工、项目执行过程的跟踪监管、质量保证措施、对委托业务单位的遴选程序、培训效果评估等内容。</w:t>
      </w:r>
    </w:p>
    <w:p>
      <w:pPr>
        <w:spacing w:line="560" w:lineRule="exact"/>
        <w:ind w:firstLine="640" w:firstLineChars="200"/>
        <w:outlineLvl w:val="1"/>
        <w:rPr>
          <w:rFonts w:hint="eastAsia" w:ascii="楷体" w:hAnsi="楷体" w:eastAsia="楷体" w:cs="楷体"/>
          <w:bCs/>
          <w:kern w:val="0"/>
          <w:sz w:val="32"/>
          <w:szCs w:val="28"/>
        </w:rPr>
      </w:pPr>
      <w:bookmarkStart w:id="34" w:name="_Toc4149"/>
      <w:bookmarkStart w:id="35" w:name="_Toc32071"/>
      <w:r>
        <w:rPr>
          <w:rFonts w:hint="eastAsia" w:ascii="楷体" w:hAnsi="楷体" w:eastAsia="楷体" w:cs="楷体"/>
          <w:bCs/>
          <w:kern w:val="0"/>
          <w:sz w:val="32"/>
          <w:szCs w:val="28"/>
        </w:rPr>
        <w:t>（三）项目产出情况</w:t>
      </w:r>
      <w:bookmarkEnd w:id="34"/>
      <w:bookmarkEnd w:id="35"/>
    </w:p>
    <w:p>
      <w:pPr>
        <w:pStyle w:val="28"/>
        <w:spacing w:line="560" w:lineRule="exact"/>
        <w:rPr>
          <w:rFonts w:hint="eastAsia" w:ascii="仿宋_GB2312" w:hAnsi="仿宋_GB2312" w:cs="仿宋_GB2312"/>
          <w:szCs w:val="22"/>
        </w:rPr>
      </w:pPr>
      <w:r>
        <w:rPr>
          <w:rFonts w:hint="eastAsia" w:ascii="仿宋_GB2312" w:hAnsi="仿宋_GB2312" w:cs="仿宋_GB2312"/>
          <w:szCs w:val="22"/>
        </w:rPr>
        <w:t>项目产出指标，满分40分，评价得分为33.33分。</w:t>
      </w:r>
    </w:p>
    <w:p>
      <w:pPr>
        <w:pStyle w:val="28"/>
        <w:spacing w:line="560" w:lineRule="exact"/>
        <w:rPr>
          <w:rFonts w:hint="eastAsia" w:ascii="仿宋_GB2312" w:hAnsi="仿宋_GB2312" w:cs="仿宋_GB2312"/>
          <w:szCs w:val="22"/>
        </w:rPr>
      </w:pPr>
      <w:r>
        <w:rPr>
          <w:rFonts w:hint="eastAsia" w:ascii="仿宋_GB2312" w:hAnsi="仿宋_GB2312" w:cs="仿宋_GB2312"/>
          <w:szCs w:val="22"/>
        </w:rPr>
        <w:t>1.产出数量指标完成情况</w:t>
      </w:r>
    </w:p>
    <w:p>
      <w:pPr>
        <w:pStyle w:val="28"/>
        <w:spacing w:line="560" w:lineRule="exact"/>
        <w:rPr>
          <w:rFonts w:hint="eastAsia" w:ascii="仿宋_GB2312" w:hAnsi="仿宋_GB2312" w:cs="仿宋_GB2312"/>
          <w:szCs w:val="22"/>
        </w:rPr>
      </w:pPr>
      <w:r>
        <w:rPr>
          <w:rFonts w:hint="eastAsia" w:ascii="仿宋_GB2312" w:hAnsi="仿宋_GB2312" w:cs="仿宋_GB2312"/>
        </w:rPr>
        <w:t>该项目按照年初数量指标设置情况，</w:t>
      </w:r>
      <w:r>
        <w:rPr>
          <w:rFonts w:hint="eastAsia" w:ascii="仿宋_GB2312" w:hAnsi="仿宋_GB2312" w:cs="仿宋_GB2312"/>
          <w:szCs w:val="22"/>
        </w:rPr>
        <w:t>完成了9份监测总报告，9份分报告，发布简报并完成《京郊百村千户监测点调查数据汇编（2022-2023）》的编写工作；2024年底完成村户样本扩点工作，夯实数据库，形成村级监测点样本118个，户级监测点1180个，</w:t>
      </w:r>
      <w:r>
        <w:rPr>
          <w:rFonts w:hint="eastAsia" w:ascii="仿宋_GB2312" w:hAnsi="仿宋_GB2312" w:cs="仿宋_GB2312"/>
          <w:snapToGrid w:val="0"/>
        </w:rPr>
        <w:t>该项目数量指标均已达到预期目标</w:t>
      </w:r>
      <w:r>
        <w:rPr>
          <w:rFonts w:hint="eastAsia" w:ascii="仿宋_GB2312" w:hAnsi="仿宋_GB2312" w:cs="仿宋_GB2312"/>
          <w:szCs w:val="22"/>
        </w:rPr>
        <w:t>。</w:t>
      </w:r>
    </w:p>
    <w:p>
      <w:pPr>
        <w:pStyle w:val="28"/>
        <w:spacing w:line="560" w:lineRule="exact"/>
        <w:rPr>
          <w:rFonts w:hint="eastAsia" w:ascii="仿宋_GB2312" w:hAnsi="仿宋_GB2312" w:cs="仿宋_GB2312"/>
          <w:szCs w:val="22"/>
        </w:rPr>
      </w:pPr>
      <w:r>
        <w:rPr>
          <w:rFonts w:hint="eastAsia" w:ascii="仿宋_GB2312" w:hAnsi="仿宋_GB2312" w:cs="仿宋_GB2312"/>
          <w:szCs w:val="22"/>
        </w:rPr>
        <w:t>2.产出质量指标完成情况</w:t>
      </w:r>
    </w:p>
    <w:p>
      <w:pPr>
        <w:pStyle w:val="28"/>
        <w:spacing w:line="560" w:lineRule="exact"/>
        <w:rPr>
          <w:rFonts w:hint="eastAsia" w:ascii="仿宋_GB2312" w:hAnsi="仿宋_GB2312" w:cs="仿宋_GB2312"/>
          <w:szCs w:val="22"/>
        </w:rPr>
      </w:pPr>
      <w:r>
        <w:rPr>
          <w:rFonts w:hint="eastAsia" w:ascii="仿宋_GB2312" w:hAnsi="仿宋_GB2312" w:cs="仿宋_GB2312"/>
          <w:szCs w:val="22"/>
        </w:rPr>
        <w:t>该项目质量指标为“按照农研中心研究成果标准通过项目验收”，指标设置不合理，未明确与监测数据相关的质量指标。</w:t>
      </w:r>
    </w:p>
    <w:p>
      <w:pPr>
        <w:pStyle w:val="28"/>
        <w:spacing w:line="560" w:lineRule="exact"/>
        <w:rPr>
          <w:rFonts w:hint="eastAsia" w:ascii="仿宋_GB2312" w:hAnsi="仿宋_GB2312" w:cs="仿宋_GB2312"/>
          <w:szCs w:val="22"/>
        </w:rPr>
      </w:pPr>
      <w:r>
        <w:rPr>
          <w:rFonts w:hint="eastAsia" w:ascii="仿宋_GB2312" w:hAnsi="仿宋_GB2312" w:cs="仿宋_GB2312"/>
          <w:szCs w:val="22"/>
        </w:rPr>
        <w:t>3.产出时效指标完成情况</w:t>
      </w:r>
    </w:p>
    <w:p>
      <w:pPr>
        <w:pStyle w:val="28"/>
        <w:spacing w:line="560" w:lineRule="exact"/>
        <w:rPr>
          <w:rFonts w:hint="eastAsia" w:ascii="仿宋_GB2312" w:hAnsi="仿宋_GB2312" w:cs="仿宋_GB2312"/>
          <w:szCs w:val="22"/>
        </w:rPr>
      </w:pPr>
      <w:r>
        <w:rPr>
          <w:rFonts w:hint="eastAsia" w:ascii="仿宋_GB2312" w:hAnsi="仿宋_GB2312" w:cs="仿宋_GB2312"/>
          <w:szCs w:val="22"/>
        </w:rPr>
        <w:t>2024年3月签订《技术服务合同》，截至2024年9月，资金支出79.92万元，项目支出进度为50.7%，项目进度略有滞后；截至2024年12月，项目支出157.66万元，项目支出进度100%。</w:t>
      </w:r>
    </w:p>
    <w:p>
      <w:pPr>
        <w:pStyle w:val="28"/>
        <w:spacing w:line="560" w:lineRule="exact"/>
        <w:rPr>
          <w:rFonts w:hint="eastAsia" w:ascii="仿宋_GB2312" w:hAnsi="仿宋_GB2312" w:cs="仿宋_GB2312"/>
          <w:szCs w:val="22"/>
        </w:rPr>
      </w:pPr>
      <w:r>
        <w:rPr>
          <w:rFonts w:hint="eastAsia" w:ascii="仿宋_GB2312" w:hAnsi="仿宋_GB2312" w:cs="仿宋_GB2312"/>
          <w:szCs w:val="22"/>
        </w:rPr>
        <w:t>该项目在2024年4月底前完成2020-2024年数据系统的填报工作；5月底前完成数据的核查工作，并</w:t>
      </w:r>
      <w:r>
        <w:rPr>
          <w:rFonts w:ascii="仿宋_GB2312" w:hAnsi="仿宋_GB2312" w:cs="仿宋_GB2312"/>
          <w:szCs w:val="22"/>
        </w:rPr>
        <w:t>向各区反馈问题清单</w:t>
      </w:r>
      <w:r>
        <w:rPr>
          <w:rFonts w:hint="eastAsia" w:ascii="仿宋_GB2312" w:hAnsi="仿宋_GB2312" w:cs="仿宋_GB2312"/>
          <w:szCs w:val="22"/>
        </w:rPr>
        <w:t>，以进行数据修正；6月底前完成《本市农村人口及劳动力就业现状调查》《集体土地利用情况分析》《关于集体产业的分析报告》等9项监测报告；在12月之前完成《京郊百村千户监测点调查数据汇编（2022-2023）》的编写、发表论文、发表内部刊物等工作；于2024年12月举办了“百村千户”监测点培训会，对监测点区、镇级联络员和村级填表员进行现场培训。</w:t>
      </w:r>
    </w:p>
    <w:p>
      <w:pPr>
        <w:pStyle w:val="28"/>
        <w:spacing w:line="560" w:lineRule="exact"/>
        <w:rPr>
          <w:rFonts w:hint="eastAsia" w:ascii="仿宋_GB2312" w:hAnsi="仿宋_GB2312" w:cs="仿宋_GB2312"/>
          <w:snapToGrid w:val="0"/>
        </w:rPr>
      </w:pPr>
      <w:r>
        <w:rPr>
          <w:rFonts w:hint="eastAsia" w:ascii="仿宋_GB2312" w:hAnsi="仿宋_GB2312" w:cs="仿宋_GB2312"/>
          <w:snapToGrid w:val="0"/>
        </w:rPr>
        <w:t>4.产出成本指标完成情况</w:t>
      </w:r>
    </w:p>
    <w:p>
      <w:pPr>
        <w:pStyle w:val="28"/>
        <w:spacing w:line="560" w:lineRule="exact"/>
        <w:rPr>
          <w:rFonts w:hint="eastAsia"/>
        </w:rPr>
      </w:pPr>
      <w:r>
        <w:rPr>
          <w:rFonts w:hint="eastAsia" w:ascii="仿宋_GB2312" w:hAnsi="仿宋_GB2312" w:cs="仿宋_GB2312"/>
          <w:szCs w:val="22"/>
        </w:rPr>
        <w:t>截至2024年12月31日，实际支出总额为157.66万元，未超出预算控制数，各项成本支出控制在预算范围内，较好地达到了预期目标，但项目成本节约率较低。</w:t>
      </w:r>
    </w:p>
    <w:p>
      <w:pPr>
        <w:spacing w:line="560" w:lineRule="exact"/>
        <w:ind w:firstLine="640" w:firstLineChars="200"/>
        <w:outlineLvl w:val="1"/>
        <w:rPr>
          <w:rFonts w:hint="eastAsia" w:ascii="楷体" w:hAnsi="楷体" w:eastAsia="楷体" w:cs="楷体"/>
          <w:bCs/>
          <w:kern w:val="0"/>
          <w:sz w:val="32"/>
          <w:szCs w:val="28"/>
        </w:rPr>
      </w:pPr>
      <w:bookmarkStart w:id="36" w:name="_Toc31617"/>
      <w:bookmarkStart w:id="37" w:name="_Toc730"/>
      <w:r>
        <w:rPr>
          <w:rFonts w:hint="eastAsia" w:ascii="楷体" w:hAnsi="楷体" w:eastAsia="楷体" w:cs="楷体"/>
          <w:bCs/>
          <w:kern w:val="0"/>
          <w:sz w:val="32"/>
          <w:szCs w:val="28"/>
        </w:rPr>
        <w:t>（四）项目效益情况</w:t>
      </w:r>
      <w:bookmarkEnd w:id="36"/>
      <w:bookmarkEnd w:id="37"/>
    </w:p>
    <w:p>
      <w:pPr>
        <w:spacing w:line="560" w:lineRule="exact"/>
        <w:ind w:firstLine="640" w:firstLineChars="200"/>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项目效益指标，满分30分，评价得分为24.17分。</w:t>
      </w:r>
    </w:p>
    <w:p>
      <w:pPr>
        <w:spacing w:line="560" w:lineRule="exact"/>
        <w:ind w:firstLine="640" w:firstLineChars="200"/>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项目基本达到了预期效益目标，通过对“百村千户”监测系统的界面设计、检测指标调整与平衡关系、系统权限修改与功能增加的优化升级工作，提升了监测系统的整体性能和效率；对村集体经济运行变化开展动态监测、发表相关论文及内部刊物，成为市人大、市政协座谈研讨会重要支撑材料，但该项目缺少对成果利用、效益呈现的凝练、挖掘和总结的资料支撑；同时满意度调查覆盖面不全，缺少对社会公众的满意度调查。</w:t>
      </w:r>
    </w:p>
    <w:p>
      <w:pPr>
        <w:spacing w:line="560" w:lineRule="exact"/>
        <w:ind w:firstLine="640" w:firstLineChars="200"/>
        <w:outlineLvl w:val="0"/>
        <w:rPr>
          <w:rFonts w:hint="eastAsia" w:ascii="黑体" w:hAnsi="黑体" w:eastAsia="黑体"/>
          <w:bCs/>
          <w:kern w:val="0"/>
          <w:sz w:val="32"/>
          <w:szCs w:val="28"/>
        </w:rPr>
      </w:pPr>
      <w:bookmarkStart w:id="38" w:name="_Toc11440"/>
      <w:r>
        <w:rPr>
          <w:rFonts w:hint="eastAsia" w:ascii="黑体" w:hAnsi="黑体" w:eastAsia="黑体"/>
          <w:bCs/>
          <w:kern w:val="0"/>
          <w:sz w:val="32"/>
          <w:szCs w:val="28"/>
        </w:rPr>
        <w:t>五、存在的主要问题</w:t>
      </w:r>
      <w:bookmarkEnd w:id="38"/>
    </w:p>
    <w:p>
      <w:pPr>
        <w:spacing w:line="560" w:lineRule="exact"/>
        <w:ind w:firstLine="640" w:firstLineChars="200"/>
        <w:rPr>
          <w:rFonts w:hint="eastAsia" w:ascii="楷体" w:hAnsi="楷体" w:eastAsia="楷体"/>
          <w:bCs/>
          <w:kern w:val="0"/>
          <w:sz w:val="32"/>
          <w:szCs w:val="28"/>
        </w:rPr>
      </w:pPr>
      <w:r>
        <w:rPr>
          <w:rFonts w:hint="eastAsia" w:ascii="楷体" w:hAnsi="楷体" w:eastAsia="楷体"/>
          <w:bCs/>
          <w:kern w:val="0"/>
          <w:sz w:val="32"/>
          <w:szCs w:val="28"/>
        </w:rPr>
        <w:t>（一）绩效指标的设置缺乏合理性、全面性和可衡量性</w:t>
      </w:r>
    </w:p>
    <w:p>
      <w:pPr>
        <w:pStyle w:val="28"/>
        <w:spacing w:line="560" w:lineRule="exact"/>
        <w:rPr>
          <w:rFonts w:hint="eastAsia" w:ascii="仿宋_GB2312" w:hAnsi="仿宋_GB2312" w:cs="仿宋_GB2312"/>
          <w:szCs w:val="22"/>
        </w:rPr>
      </w:pPr>
      <w:r>
        <w:rPr>
          <w:rFonts w:hint="eastAsia" w:ascii="仿宋_GB2312" w:hAnsi="仿宋_GB2312" w:cs="仿宋_GB2312"/>
          <w:szCs w:val="22"/>
        </w:rPr>
        <w:t>该项目绩效指标设置的合理性和全面性有待提升。产出数量指标和服务对象满意度指标的设置不够全面，如产出数量指标仅包含出具的报告、简报等信息，未包含“百村千户”4年填报的相关数据；服务对象满意度指标设置的合理性不足，未根据用户的不同层级和维度进行设计，无法充分体现满意度指标对项目的指导和反馈作用。质量指标“按照农研中心研究成果标准通过项目验收”，未根据项目的实际情况，设置明确的监测数据质量指标，效益指标缺少细化量化的指标值，无法准确衡量项目的实际效果，可考核性较差。</w:t>
      </w:r>
    </w:p>
    <w:p>
      <w:pPr>
        <w:spacing w:line="560" w:lineRule="exact"/>
        <w:ind w:firstLine="640" w:firstLineChars="200"/>
        <w:rPr>
          <w:rFonts w:hint="eastAsia" w:ascii="楷体" w:hAnsi="楷体" w:eastAsia="楷体"/>
          <w:bCs/>
          <w:kern w:val="0"/>
          <w:sz w:val="32"/>
          <w:szCs w:val="28"/>
        </w:rPr>
      </w:pPr>
      <w:r>
        <w:rPr>
          <w:rFonts w:hint="eastAsia" w:ascii="楷体" w:hAnsi="楷体" w:eastAsia="楷体"/>
          <w:bCs/>
          <w:kern w:val="0"/>
          <w:sz w:val="32"/>
          <w:szCs w:val="28"/>
        </w:rPr>
        <w:t>（</w:t>
      </w:r>
      <w:r>
        <w:rPr>
          <w:rFonts w:hint="eastAsia" w:ascii="楷体" w:hAnsi="楷体" w:eastAsia="楷体"/>
          <w:bCs/>
          <w:kern w:val="0"/>
          <w:sz w:val="32"/>
          <w:szCs w:val="28"/>
          <w:lang w:eastAsia="zh-CN"/>
        </w:rPr>
        <w:t>二</w:t>
      </w:r>
      <w:r>
        <w:rPr>
          <w:rFonts w:hint="eastAsia" w:ascii="楷体" w:hAnsi="楷体" w:eastAsia="楷体"/>
          <w:bCs/>
          <w:kern w:val="0"/>
          <w:sz w:val="32"/>
          <w:szCs w:val="28"/>
        </w:rPr>
        <w:t>）项目绩效资料体现不充分，满意度支撑不足</w:t>
      </w:r>
    </w:p>
    <w:p>
      <w:pPr>
        <w:pStyle w:val="28"/>
        <w:spacing w:line="560" w:lineRule="exact"/>
        <w:rPr>
          <w:rFonts w:hint="eastAsia" w:ascii="仿宋_GB2312" w:hAnsi="仿宋_GB2312" w:cs="仿宋_GB2312"/>
          <w:szCs w:val="22"/>
        </w:rPr>
      </w:pPr>
      <w:r>
        <w:rPr>
          <w:rFonts w:hint="eastAsia" w:ascii="仿宋_GB2312" w:hAnsi="仿宋_GB2312" w:cs="仿宋_GB2312"/>
          <w:szCs w:val="22"/>
        </w:rPr>
        <w:t>该项目效益效果资料呈现不充分，缺少对监测点地区转型发展提供辅导、提升集体经济组织经营性收入水平及监测人居环境变化的支撑资料；服务对象满意度调查群体不够宽泛，对监测点区、镇级联络员及村级填表员开展了满意度问卷调查，但未反映社会群众项目满意度情况，未对满意度调查结果进行深入分析。</w:t>
      </w:r>
    </w:p>
    <w:p>
      <w:pPr>
        <w:spacing w:line="560" w:lineRule="exact"/>
        <w:ind w:firstLine="640" w:firstLineChars="200"/>
        <w:outlineLvl w:val="0"/>
        <w:rPr>
          <w:rFonts w:hint="eastAsia" w:ascii="黑体" w:hAnsi="黑体" w:eastAsia="黑体"/>
          <w:bCs/>
          <w:kern w:val="0"/>
          <w:sz w:val="32"/>
          <w:szCs w:val="28"/>
        </w:rPr>
      </w:pPr>
      <w:bookmarkStart w:id="39" w:name="_Toc20876"/>
      <w:r>
        <w:rPr>
          <w:rFonts w:hint="eastAsia" w:ascii="黑体" w:hAnsi="黑体" w:eastAsia="黑体"/>
          <w:bCs/>
          <w:kern w:val="0"/>
          <w:sz w:val="32"/>
          <w:szCs w:val="28"/>
        </w:rPr>
        <w:t>六、有关建议</w:t>
      </w:r>
      <w:bookmarkEnd w:id="39"/>
    </w:p>
    <w:p>
      <w:pPr>
        <w:spacing w:line="560" w:lineRule="exact"/>
        <w:ind w:firstLine="640" w:firstLineChars="200"/>
        <w:rPr>
          <w:rFonts w:hint="eastAsia" w:ascii="楷体" w:hAnsi="楷体" w:eastAsia="楷体"/>
          <w:bCs/>
          <w:kern w:val="0"/>
          <w:sz w:val="32"/>
          <w:szCs w:val="28"/>
        </w:rPr>
      </w:pPr>
      <w:r>
        <w:rPr>
          <w:rFonts w:hint="eastAsia" w:ascii="楷体" w:hAnsi="楷体" w:eastAsia="楷体"/>
          <w:bCs/>
          <w:kern w:val="0"/>
          <w:sz w:val="32"/>
          <w:szCs w:val="28"/>
        </w:rPr>
        <w:t>（一）结合项目具体实施条件，制定合理的绩效指标</w:t>
      </w:r>
    </w:p>
    <w:p>
      <w:pPr>
        <w:pStyle w:val="28"/>
        <w:spacing w:line="560" w:lineRule="exact"/>
        <w:rPr>
          <w:rFonts w:hint="eastAsia" w:ascii="仿宋_GB2312" w:hAnsi="仿宋_GB2312" w:cs="仿宋_GB2312"/>
          <w:szCs w:val="22"/>
        </w:rPr>
      </w:pPr>
      <w:r>
        <w:rPr>
          <w:rFonts w:hint="eastAsia" w:ascii="仿宋_GB2312" w:hAnsi="仿宋_GB2312" w:cs="仿宋_GB2312"/>
          <w:szCs w:val="22"/>
        </w:rPr>
        <w:t>加强项目绩效管理，进一步理解项目绩效评价指标体系，根据项目实际产出情况，预期目标和效果，设置科学合理的绩效指标，增强项目产出与效果的匹配性；结合项目实施内容，对项目绩效指标进行细化、量化，增强绩效指标的可衡量性；</w:t>
      </w:r>
      <w:r>
        <w:rPr>
          <w:rFonts w:ascii="仿宋_GB2312" w:hAnsi="仿宋_GB2312" w:cs="仿宋_GB2312"/>
          <w:szCs w:val="22"/>
        </w:rPr>
        <w:t>合理设定项目用户满意度指标。依据项目中用户的分层和多维度特性，制定相应的用户满意度指标，确保有效指导项目进程并提供反馈。</w:t>
      </w:r>
    </w:p>
    <w:p>
      <w:pPr>
        <w:spacing w:line="560" w:lineRule="exact"/>
        <w:ind w:firstLine="640" w:firstLineChars="200"/>
        <w:rPr>
          <w:rFonts w:hint="eastAsia" w:ascii="楷体" w:hAnsi="楷体" w:eastAsia="楷体"/>
          <w:bCs/>
          <w:kern w:val="0"/>
          <w:sz w:val="32"/>
          <w:szCs w:val="28"/>
        </w:rPr>
      </w:pPr>
      <w:r>
        <w:rPr>
          <w:rFonts w:hint="eastAsia" w:ascii="楷体" w:hAnsi="楷体" w:eastAsia="楷体"/>
          <w:bCs/>
          <w:kern w:val="0"/>
          <w:sz w:val="32"/>
          <w:szCs w:val="28"/>
        </w:rPr>
        <w:t>（</w:t>
      </w:r>
      <w:r>
        <w:rPr>
          <w:rFonts w:hint="eastAsia" w:ascii="楷体" w:hAnsi="楷体" w:eastAsia="楷体"/>
          <w:bCs/>
          <w:kern w:val="0"/>
          <w:sz w:val="32"/>
          <w:szCs w:val="28"/>
          <w:lang w:eastAsia="zh-CN"/>
        </w:rPr>
        <w:t>二</w:t>
      </w:r>
      <w:r>
        <w:rPr>
          <w:rFonts w:hint="eastAsia" w:ascii="楷体" w:hAnsi="楷体" w:eastAsia="楷体"/>
          <w:bCs/>
          <w:kern w:val="0"/>
          <w:sz w:val="32"/>
          <w:szCs w:val="28"/>
        </w:rPr>
        <w:t>）强化项目实施过程中效果资料的系统性收集与整理</w:t>
      </w:r>
    </w:p>
    <w:p>
      <w:pPr>
        <w:pStyle w:val="28"/>
        <w:spacing w:line="560" w:lineRule="exact"/>
        <w:rPr>
          <w:rFonts w:hint="eastAsia" w:ascii="仿宋_GB2312" w:hAnsi="仿宋_GB2312" w:cs="仿宋_GB2312"/>
          <w:szCs w:val="22"/>
        </w:rPr>
      </w:pPr>
      <w:r>
        <w:rPr>
          <w:rFonts w:hint="eastAsia" w:ascii="仿宋_GB2312" w:hAnsi="仿宋_GB2312" w:cs="仿宋_GB2312"/>
          <w:szCs w:val="22"/>
        </w:rPr>
        <w:t>建议建立规范的项目资料管理制度，注重收集项目实施效果的相关资料，对收集到的资料进行统一管理和存储，以全面且完整地展现项目实施的成效。开展不同维度、不同人员层级的满意度问卷调查和分析，用客观数据和资料支撑项目效益。</w:t>
      </w:r>
    </w:p>
    <w:p>
      <w:pPr>
        <w:spacing w:line="560" w:lineRule="exact"/>
        <w:ind w:firstLine="640" w:firstLineChars="200"/>
        <w:outlineLvl w:val="0"/>
        <w:rPr>
          <w:rFonts w:hint="eastAsia" w:ascii="黑体" w:hAnsi="黑体" w:eastAsia="黑体"/>
          <w:bCs/>
          <w:kern w:val="0"/>
          <w:sz w:val="32"/>
          <w:szCs w:val="28"/>
        </w:rPr>
      </w:pPr>
      <w:bookmarkStart w:id="40" w:name="_Toc17614"/>
      <w:r>
        <w:rPr>
          <w:rFonts w:hint="eastAsia" w:ascii="黑体" w:hAnsi="黑体" w:eastAsia="黑体"/>
          <w:bCs/>
          <w:kern w:val="0"/>
          <w:sz w:val="32"/>
          <w:szCs w:val="28"/>
        </w:rPr>
        <w:t>七、其他需要说明的问题</w:t>
      </w:r>
      <w:bookmarkEnd w:id="40"/>
    </w:p>
    <w:p>
      <w:pPr>
        <w:pStyle w:val="28"/>
        <w:spacing w:line="560" w:lineRule="exact"/>
        <w:rPr>
          <w:rFonts w:hint="eastAsia" w:ascii="仿宋_GB2312" w:hAnsi="仿宋_GB2312" w:cs="仿宋_GB2312"/>
          <w:szCs w:val="22"/>
        </w:rPr>
      </w:pPr>
      <w:bookmarkStart w:id="41" w:name="_Toc18160"/>
      <w:r>
        <w:rPr>
          <w:rFonts w:hint="eastAsia" w:ascii="仿宋_GB2312" w:hAnsi="仿宋_GB2312" w:cs="仿宋_GB2312"/>
          <w:szCs w:val="22"/>
        </w:rPr>
        <w:t>本报告主要是基于市农研中心收集的决策、过程、产出、效益方面的资料做出的评价，评价工作组对资料的真实性进行了适当的审查与沟通，但受资料完整性及沟通范围所限，并非每项指标的打分都有充分的资料支撑，个别指标主要是依据项目单位沟通结果判断。</w:t>
      </w:r>
      <w:bookmarkEnd w:id="41"/>
    </w:p>
    <w:p>
      <w:pPr>
        <w:spacing w:line="560" w:lineRule="exact"/>
        <w:ind w:firstLine="640" w:firstLineChars="200"/>
        <w:outlineLvl w:val="0"/>
        <w:rPr>
          <w:rFonts w:hint="eastAsia" w:ascii="黑体" w:hAnsi="黑体" w:eastAsia="黑体"/>
          <w:bCs/>
          <w:kern w:val="0"/>
          <w:sz w:val="32"/>
          <w:szCs w:val="28"/>
        </w:rPr>
      </w:pPr>
      <w:bookmarkStart w:id="42" w:name="_Toc10930"/>
      <w:bookmarkStart w:id="43" w:name="_Toc12103"/>
      <w:r>
        <w:rPr>
          <w:rFonts w:hint="eastAsia" w:ascii="黑体" w:hAnsi="黑体" w:eastAsia="黑体"/>
          <w:bCs/>
          <w:kern w:val="0"/>
          <w:sz w:val="32"/>
          <w:szCs w:val="28"/>
        </w:rPr>
        <w:t>八、附件</w:t>
      </w:r>
      <w:bookmarkEnd w:id="42"/>
      <w:bookmarkEnd w:id="43"/>
    </w:p>
    <w:p>
      <w:pPr>
        <w:spacing w:line="560" w:lineRule="exact"/>
        <w:ind w:firstLine="640" w:firstLineChars="200"/>
        <w:rPr>
          <w:rFonts w:hint="eastAsia" w:ascii="仿宋_GB2312" w:hAnsi="宋体" w:eastAsia="仿宋_GB2312"/>
          <w:bCs/>
          <w:kern w:val="0"/>
          <w:sz w:val="32"/>
          <w:szCs w:val="28"/>
        </w:rPr>
      </w:pPr>
      <w:r>
        <w:rPr>
          <w:rFonts w:ascii="仿宋_GB2312" w:hAnsi="宋体" w:eastAsia="仿宋_GB2312"/>
          <w:bCs/>
          <w:kern w:val="0"/>
          <w:sz w:val="32"/>
          <w:szCs w:val="28"/>
        </w:rPr>
        <w:t>附件</w:t>
      </w:r>
      <w:r>
        <w:rPr>
          <w:rFonts w:hint="eastAsia" w:ascii="仿宋_GB2312" w:hAnsi="宋体" w:eastAsia="仿宋_GB2312"/>
          <w:bCs/>
          <w:kern w:val="0"/>
          <w:sz w:val="32"/>
          <w:szCs w:val="28"/>
        </w:rPr>
        <w:t>：</w:t>
      </w:r>
      <w:r>
        <w:rPr>
          <w:rFonts w:hint="eastAsia" w:ascii="仿宋_GB2312" w:hAnsi="楷体" w:eastAsia="仿宋_GB2312"/>
          <w:bCs/>
          <w:kern w:val="0"/>
          <w:sz w:val="32"/>
          <w:szCs w:val="28"/>
        </w:rPr>
        <w:t>1.项目预算执行情况表</w:t>
      </w:r>
    </w:p>
    <w:p>
      <w:pPr>
        <w:spacing w:line="560" w:lineRule="exact"/>
        <w:ind w:firstLine="640" w:firstLineChars="200"/>
        <w:rPr>
          <w:rFonts w:hint="eastAsia" w:ascii="仿宋_GB2312" w:hAnsi="楷体" w:eastAsia="仿宋_GB2312"/>
          <w:bCs/>
          <w:kern w:val="0"/>
          <w:sz w:val="32"/>
          <w:szCs w:val="28"/>
        </w:rPr>
      </w:pPr>
      <w:r>
        <w:rPr>
          <w:rFonts w:hint="eastAsia" w:ascii="仿宋_GB2312" w:hAnsi="楷体" w:eastAsia="仿宋_GB2312"/>
          <w:bCs/>
          <w:kern w:val="0"/>
          <w:sz w:val="32"/>
          <w:szCs w:val="28"/>
        </w:rPr>
        <w:t>2.项目绩效目标完成情况及收支明细表</w:t>
      </w:r>
    </w:p>
    <w:p>
      <w:pPr>
        <w:spacing w:line="560" w:lineRule="exact"/>
        <w:ind w:firstLine="640" w:firstLineChars="200"/>
        <w:rPr>
          <w:rFonts w:hint="eastAsia" w:ascii="仿宋_GB2312" w:hAnsi="楷体" w:eastAsia="仿宋_GB2312"/>
          <w:bCs/>
          <w:kern w:val="0"/>
          <w:sz w:val="32"/>
          <w:szCs w:val="28"/>
        </w:rPr>
      </w:pPr>
      <w:r>
        <w:rPr>
          <w:rFonts w:hint="eastAsia" w:ascii="仿宋_GB2312" w:hAnsi="楷体" w:eastAsia="仿宋_GB2312"/>
          <w:bCs/>
          <w:kern w:val="0"/>
          <w:sz w:val="32"/>
          <w:szCs w:val="28"/>
        </w:rPr>
        <w:t>3.专家意见汇总书</w:t>
      </w:r>
    </w:p>
    <w:p>
      <w:pPr>
        <w:spacing w:line="560" w:lineRule="exact"/>
        <w:ind w:firstLine="640" w:firstLineChars="200"/>
      </w:pPr>
      <w:r>
        <w:rPr>
          <w:rFonts w:hint="eastAsia" w:ascii="仿宋_GB2312" w:hAnsi="楷体" w:eastAsia="仿宋_GB2312"/>
          <w:bCs/>
          <w:kern w:val="0"/>
          <w:sz w:val="32"/>
          <w:szCs w:val="28"/>
        </w:rPr>
        <w:t>4.项目支出指标体系及评分情况表</w:t>
      </w:r>
    </w:p>
    <w:p>
      <w:pPr>
        <w:spacing w:line="560" w:lineRule="exact"/>
        <w:ind w:firstLine="640" w:firstLineChars="200"/>
        <w:rPr>
          <w:rFonts w:hint="eastAsia" w:ascii="仿宋_GB2312" w:hAnsi="宋体" w:eastAsia="仿宋_GB2312"/>
          <w:bCs/>
          <w:kern w:val="0"/>
          <w:sz w:val="32"/>
          <w:szCs w:val="28"/>
        </w:rPr>
      </w:pPr>
    </w:p>
    <w:p>
      <w:pPr>
        <w:spacing w:line="560" w:lineRule="exact"/>
        <w:ind w:firstLine="642" w:firstLineChars="200"/>
        <w:rPr>
          <w:rFonts w:hint="eastAsia" w:ascii="黑体" w:hAnsi="黑体" w:eastAsia="黑体"/>
          <w:b/>
          <w:kern w:val="0"/>
          <w:sz w:val="32"/>
          <w:szCs w:val="28"/>
        </w:rPr>
        <w:sectPr>
          <w:pgSz w:w="11906" w:h="16838"/>
          <w:pgMar w:top="2098" w:right="1474" w:bottom="1984" w:left="1587" w:header="851" w:footer="992" w:gutter="0"/>
          <w:pgNumType w:start="1"/>
          <w:cols w:space="720" w:num="1"/>
          <w:docGrid w:type="lines" w:linePitch="312" w:charSpace="0"/>
        </w:sectPr>
      </w:pPr>
    </w:p>
    <w:p>
      <w:pPr>
        <w:pStyle w:val="14"/>
        <w:spacing w:line="560" w:lineRule="exact"/>
        <w:ind w:firstLine="640"/>
        <w:rPr>
          <w:rFonts w:hint="eastAsia" w:ascii="黑体" w:hAnsi="黑体" w:eastAsia="黑体" w:cs="黑体"/>
          <w:lang w:bidi="ar"/>
        </w:rPr>
        <w:sectPr>
          <w:pgSz w:w="16838" w:h="11906" w:orient="landscape"/>
          <w:pgMar w:top="1800" w:right="1440" w:bottom="1800" w:left="1440" w:header="851" w:footer="992" w:gutter="0"/>
          <w:cols w:space="425" w:num="1"/>
          <w:docGrid w:type="lines" w:linePitch="312" w:charSpace="0"/>
        </w:sectPr>
      </w:pPr>
      <w:r>
        <w:rPr>
          <w:rFonts w:hint="eastAsia" w:ascii="黑体" w:hAnsi="黑体" w:eastAsia="黑体" w:cs="黑体"/>
          <w:lang w:bidi="ar"/>
        </w:rPr>
        <w:drawing>
          <wp:anchor distT="0" distB="0" distL="114300" distR="114300" simplePos="0" relativeHeight="251661312" behindDoc="0" locked="0" layoutInCell="1" allowOverlap="1">
            <wp:simplePos x="0" y="0"/>
            <wp:positionH relativeFrom="column">
              <wp:posOffset>15875</wp:posOffset>
            </wp:positionH>
            <wp:positionV relativeFrom="paragraph">
              <wp:posOffset>603250</wp:posOffset>
            </wp:positionV>
            <wp:extent cx="8807450" cy="4488815"/>
            <wp:effectExtent l="0" t="0" r="6350" b="6985"/>
            <wp:wrapSquare wrapText="bothSides"/>
            <wp:docPr id="7"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true"/>
                    </pic:cNvPicPr>
                  </pic:nvPicPr>
                  <pic:blipFill>
                    <a:blip r:embed="rId7"/>
                    <a:stretch>
                      <a:fillRect/>
                    </a:stretch>
                  </pic:blipFill>
                  <pic:spPr>
                    <a:xfrm>
                      <a:off x="0" y="0"/>
                      <a:ext cx="8807450" cy="4488815"/>
                    </a:xfrm>
                    <a:prstGeom prst="rect">
                      <a:avLst/>
                    </a:prstGeom>
                    <a:noFill/>
                    <a:ln>
                      <a:noFill/>
                    </a:ln>
                  </pic:spPr>
                </pic:pic>
              </a:graphicData>
            </a:graphic>
          </wp:anchor>
        </w:drawing>
      </w:r>
      <w:r>
        <w:rPr>
          <w:rFonts w:hint="eastAsia" w:ascii="黑体" w:hAnsi="黑体" w:eastAsia="黑体" w:cs="黑体"/>
          <w:lang w:bidi="ar"/>
        </w:rPr>
        <w:t>附件1</w:t>
      </w:r>
    </w:p>
    <w:p>
      <w:pPr>
        <w:rPr>
          <w:rFonts w:hint="eastAsia" w:ascii="黑体" w:hAnsi="黑体" w:eastAsia="黑体" w:cs="黑体"/>
          <w:kern w:val="1"/>
          <w:sz w:val="32"/>
          <w:szCs w:val="20"/>
          <w:lang w:bidi="ar"/>
        </w:rPr>
      </w:pPr>
      <w:r>
        <w:rPr>
          <w:rFonts w:hint="eastAsia" w:ascii="黑体" w:hAnsi="黑体" w:eastAsia="黑体" w:cs="黑体"/>
          <w:kern w:val="1"/>
          <w:sz w:val="32"/>
          <w:szCs w:val="20"/>
          <w:lang w:bidi="ar"/>
        </w:rPr>
        <w:t>附件2</w:t>
      </w:r>
    </w:p>
    <w:p>
      <w:pPr>
        <w:pStyle w:val="27"/>
        <w:spacing w:line="560" w:lineRule="exact"/>
        <w:ind w:firstLine="720" w:firstLineChars="200"/>
        <w:jc w:val="center"/>
        <w:rPr>
          <w:rFonts w:hint="eastAsia" w:ascii="方正小标宋简体" w:hAnsi="宋体" w:eastAsia="方正小标宋简体" w:cs="宋体"/>
          <w:color w:val="000000"/>
          <w:kern w:val="0"/>
          <w:sz w:val="36"/>
          <w:szCs w:val="36"/>
          <w:lang w:bidi="ar"/>
        </w:rPr>
      </w:pPr>
      <w:r>
        <w:rPr>
          <w:rFonts w:hint="eastAsia" w:ascii="方正小标宋简体" w:hAnsi="宋体" w:eastAsia="方正小标宋简体" w:cs="宋体"/>
          <w:color w:val="000000"/>
          <w:kern w:val="0"/>
          <w:sz w:val="36"/>
          <w:szCs w:val="36"/>
          <w:lang w:bidi="ar"/>
        </w:rPr>
        <w:t>项目绩效目标完成情况及收支明细表</w:t>
      </w:r>
    </w:p>
    <w:tbl>
      <w:tblPr>
        <w:tblStyle w:val="15"/>
        <w:tblW w:w="8959" w:type="dxa"/>
        <w:tblInd w:w="98" w:type="dxa"/>
        <w:tblLayout w:type="fixed"/>
        <w:tblCellMar>
          <w:top w:w="0" w:type="dxa"/>
          <w:left w:w="108" w:type="dxa"/>
          <w:bottom w:w="0" w:type="dxa"/>
          <w:right w:w="108" w:type="dxa"/>
        </w:tblCellMar>
      </w:tblPr>
      <w:tblGrid>
        <w:gridCol w:w="992"/>
        <w:gridCol w:w="3279"/>
        <w:gridCol w:w="2408"/>
        <w:gridCol w:w="2280"/>
      </w:tblGrid>
      <w:tr>
        <w:tblPrEx>
          <w:tblCellMar>
            <w:top w:w="0" w:type="dxa"/>
            <w:left w:w="108" w:type="dxa"/>
            <w:bottom w:w="0" w:type="dxa"/>
            <w:right w:w="108" w:type="dxa"/>
          </w:tblCellMar>
        </w:tblPrEx>
        <w:trPr>
          <w:trHeight w:val="600" w:hRule="atLeast"/>
        </w:trPr>
        <w:tc>
          <w:tcPr>
            <w:tcW w:w="42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审核人：</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单位：万元</w:t>
            </w:r>
          </w:p>
        </w:tc>
      </w:tr>
      <w:tr>
        <w:tblPrEx>
          <w:tblCellMar>
            <w:top w:w="0" w:type="dxa"/>
            <w:left w:w="108" w:type="dxa"/>
            <w:bottom w:w="0" w:type="dxa"/>
            <w:right w:w="108" w:type="dxa"/>
          </w:tblCellMar>
        </w:tblPrEx>
        <w:trPr>
          <w:trHeight w:val="403" w:hRule="atLeast"/>
        </w:trPr>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绩效目标完成情况</w:t>
            </w: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目标内容</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目标调整情况</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实际完成情况</w:t>
            </w:r>
          </w:p>
        </w:tc>
      </w:tr>
      <w:tr>
        <w:tblPrEx>
          <w:tblCellMar>
            <w:top w:w="0" w:type="dxa"/>
            <w:left w:w="108" w:type="dxa"/>
            <w:bottom w:w="0" w:type="dxa"/>
            <w:right w:w="108" w:type="dxa"/>
          </w:tblCellMar>
        </w:tblPrEx>
        <w:trPr>
          <w:trHeight w:val="817"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监测总报告1份；分报告3～6份；阶段性成果含发布信息、简报5篇≥6</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860"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按照农研中心研究成果标准通过项目验收，定性好</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624"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2024年5月底前完成数据核查</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624"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2024年12月底前完成专项培训</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624"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2024年1-4月进行数据系统填报</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624"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2024年6月底前完成总报告撰写</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860"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2024年7-12月陆续完成成果转化</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860"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按时间进度完成支出进度，9月底前完成75%</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1580"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eastAsia="zh-CN" w:bidi="ar"/>
              </w:rPr>
              <w:t>预算控制数</w:t>
            </w:r>
            <w:r>
              <w:rPr>
                <w:rFonts w:hint="eastAsia" w:ascii="宋体" w:hAnsi="宋体" w:cs="宋体"/>
                <w:color w:val="000000"/>
                <w:kern w:val="0"/>
                <w:sz w:val="22"/>
                <w:szCs w:val="22"/>
                <w:lang w:bidi="ar"/>
              </w:rPr>
              <w:t>≤159.69万元</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556"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结合改革试验示范工作，为监测点地区集体经济发展转型提供相应的服务、指导，以及政策辅导工作，推动监测点地区乡村振兴战略实施</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1960"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构建百村千户监测点数据库（案例库）及数据采集平台，为市委、市政府领导农村改革与发展提供及时、动态、便捷的信息和有力的决策依据，以“发展壮大集体所有制经济”作为观察重点，着力提升集体经济组织经营性收入水平</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1200"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长期动态跟踪监测村集体经济发展运行状况，为市委、市政府领导农村改革与发展提供动态、及时的信息和有力的决策依据</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1340"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将人居环境作为重要 观察内容，通过土地利用结构变动情况，动态监测农村居民人居环境水平</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860" w:hRule="atLeast"/>
        </w:trPr>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培训对象对百村监测工作培训工作满意度，总结典型经验，促进配套政策落地≥95%</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无</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已完成</w:t>
            </w:r>
          </w:p>
        </w:tc>
      </w:tr>
      <w:tr>
        <w:tblPrEx>
          <w:tblCellMar>
            <w:top w:w="0" w:type="dxa"/>
            <w:left w:w="108" w:type="dxa"/>
            <w:bottom w:w="0" w:type="dxa"/>
            <w:right w:w="108" w:type="dxa"/>
          </w:tblCellMar>
        </w:tblPrEx>
        <w:trPr>
          <w:trHeight w:val="403" w:hRule="atLeast"/>
        </w:trPr>
        <w:tc>
          <w:tcPr>
            <w:tcW w:w="992"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资金到位情况</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项目资金</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预算批复数</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资金到位情况</w:t>
            </w:r>
          </w:p>
        </w:tc>
      </w:tr>
      <w:tr>
        <w:tblPrEx>
          <w:tblCellMar>
            <w:top w:w="0" w:type="dxa"/>
            <w:left w:w="108" w:type="dxa"/>
            <w:bottom w:w="0" w:type="dxa"/>
            <w:right w:w="108" w:type="dxa"/>
          </w:tblCellMar>
        </w:tblPrEx>
        <w:trPr>
          <w:trHeight w:val="403" w:hRule="atLeast"/>
        </w:trPr>
        <w:tc>
          <w:tcPr>
            <w:tcW w:w="99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财政拨款</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157.66 </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157.66 </w:t>
            </w:r>
          </w:p>
        </w:tc>
      </w:tr>
      <w:tr>
        <w:tblPrEx>
          <w:tblCellMar>
            <w:top w:w="0" w:type="dxa"/>
            <w:left w:w="108" w:type="dxa"/>
            <w:bottom w:w="0" w:type="dxa"/>
            <w:right w:w="108" w:type="dxa"/>
          </w:tblCellMar>
        </w:tblPrEx>
        <w:trPr>
          <w:trHeight w:val="403" w:hRule="atLeast"/>
        </w:trPr>
        <w:tc>
          <w:tcPr>
            <w:tcW w:w="99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项目单位自筹资金</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0.00 </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0.00 </w:t>
            </w:r>
          </w:p>
        </w:tc>
      </w:tr>
      <w:tr>
        <w:tblPrEx>
          <w:tblCellMar>
            <w:top w:w="0" w:type="dxa"/>
            <w:left w:w="108" w:type="dxa"/>
            <w:bottom w:w="0" w:type="dxa"/>
            <w:right w:w="108" w:type="dxa"/>
          </w:tblCellMar>
        </w:tblPrEx>
        <w:trPr>
          <w:trHeight w:val="403" w:hRule="atLeast"/>
        </w:trPr>
        <w:tc>
          <w:tcPr>
            <w:tcW w:w="99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其他资金</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0.00 </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0.00 </w:t>
            </w:r>
          </w:p>
        </w:tc>
      </w:tr>
      <w:tr>
        <w:tblPrEx>
          <w:tblCellMar>
            <w:top w:w="0" w:type="dxa"/>
            <w:left w:w="108" w:type="dxa"/>
            <w:bottom w:w="0" w:type="dxa"/>
            <w:right w:w="108" w:type="dxa"/>
          </w:tblCellMar>
        </w:tblPrEx>
        <w:trPr>
          <w:trHeight w:val="403" w:hRule="atLeast"/>
        </w:trPr>
        <w:tc>
          <w:tcPr>
            <w:tcW w:w="99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合计</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157.66 </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157.66 </w:t>
            </w:r>
          </w:p>
        </w:tc>
      </w:tr>
      <w:tr>
        <w:tblPrEx>
          <w:tblCellMar>
            <w:top w:w="0" w:type="dxa"/>
            <w:left w:w="108" w:type="dxa"/>
            <w:bottom w:w="0" w:type="dxa"/>
            <w:right w:w="108" w:type="dxa"/>
          </w:tblCellMar>
        </w:tblPrEx>
        <w:trPr>
          <w:trHeight w:val="403" w:hRule="atLeast"/>
        </w:trPr>
        <w:tc>
          <w:tcPr>
            <w:tcW w:w="992"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资金支出情况</w:t>
            </w: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项目预算支出明细</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预算批复数</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实际支出数</w:t>
            </w:r>
          </w:p>
        </w:tc>
      </w:tr>
      <w:tr>
        <w:tblPrEx>
          <w:tblCellMar>
            <w:top w:w="0" w:type="dxa"/>
            <w:left w:w="108" w:type="dxa"/>
            <w:bottom w:w="0" w:type="dxa"/>
            <w:right w:w="108" w:type="dxa"/>
          </w:tblCellMar>
        </w:tblPrEx>
        <w:trPr>
          <w:trHeight w:val="560" w:hRule="atLeast"/>
        </w:trPr>
        <w:tc>
          <w:tcPr>
            <w:tcW w:w="99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开展北京100个村集体经济运行状况跟踪监测项目的技术服务工作</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45.94 </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45.94 </w:t>
            </w:r>
          </w:p>
        </w:tc>
      </w:tr>
      <w:tr>
        <w:tblPrEx>
          <w:tblCellMar>
            <w:top w:w="0" w:type="dxa"/>
            <w:left w:w="108" w:type="dxa"/>
            <w:bottom w:w="0" w:type="dxa"/>
            <w:right w:w="108" w:type="dxa"/>
          </w:tblCellMar>
        </w:tblPrEx>
        <w:trPr>
          <w:trHeight w:val="840" w:hRule="atLeast"/>
        </w:trPr>
        <w:tc>
          <w:tcPr>
            <w:tcW w:w="99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rPr>
              <w:t>培训、咨询、印刷、劳务、其他商品和服务支出等费用</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111.72 </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111.72 </w:t>
            </w:r>
          </w:p>
        </w:tc>
      </w:tr>
      <w:tr>
        <w:tblPrEx>
          <w:tblCellMar>
            <w:top w:w="0" w:type="dxa"/>
            <w:left w:w="108" w:type="dxa"/>
            <w:bottom w:w="0" w:type="dxa"/>
            <w:right w:w="108" w:type="dxa"/>
          </w:tblCellMar>
        </w:tblPrEx>
        <w:trPr>
          <w:trHeight w:val="403" w:hRule="atLeast"/>
        </w:trPr>
        <w:tc>
          <w:tcPr>
            <w:tcW w:w="992"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32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合计</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157.66 </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 157.66 </w:t>
            </w:r>
          </w:p>
        </w:tc>
      </w:tr>
      <w:tr>
        <w:tblPrEx>
          <w:tblCellMar>
            <w:top w:w="0" w:type="dxa"/>
            <w:left w:w="108" w:type="dxa"/>
            <w:bottom w:w="0" w:type="dxa"/>
            <w:right w:w="108" w:type="dxa"/>
          </w:tblCellMar>
        </w:tblPrEx>
        <w:trPr>
          <w:trHeight w:val="1095" w:hRule="atLeast"/>
        </w:trPr>
        <w:tc>
          <w:tcPr>
            <w:tcW w:w="8959" w:type="dxa"/>
            <w:gridSpan w:val="4"/>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pPr>
            <w:r>
              <w:rPr>
                <w:rFonts w:hint="eastAsia" w:ascii="宋体" w:hAnsi="宋体" w:cs="宋体"/>
                <w:color w:val="000000"/>
                <w:kern w:val="0"/>
                <w:sz w:val="22"/>
                <w:szCs w:val="22"/>
                <w:lang w:bidi="ar"/>
              </w:rPr>
              <w:t>注：1.预算批复数为项目年度批复的预算数，包含年初批复和年中的追加核减数；</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2.实际支出数是指对应项目明细的实际支出数；</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    3.表中数据以单位实际账面数据为准，保留小数点后两位数字。</w:t>
            </w:r>
          </w:p>
        </w:tc>
      </w:tr>
    </w:tbl>
    <w:p>
      <w:pPr>
        <w:spacing w:line="560" w:lineRule="exact"/>
        <w:ind w:firstLine="720" w:firstLineChars="200"/>
        <w:rPr>
          <w:rFonts w:hint="eastAsia" w:ascii="方正小标宋简体" w:hAnsi="宋体" w:eastAsia="方正小标宋简体" w:cs="宋体"/>
          <w:color w:val="000000"/>
          <w:kern w:val="0"/>
          <w:sz w:val="36"/>
          <w:szCs w:val="36"/>
          <w:lang w:bidi="ar"/>
        </w:rPr>
      </w:pPr>
      <w:r>
        <w:rPr>
          <w:rFonts w:hint="eastAsia" w:ascii="方正小标宋简体" w:hAnsi="宋体" w:eastAsia="方正小标宋简体" w:cs="宋体"/>
          <w:color w:val="000000"/>
          <w:kern w:val="0"/>
          <w:sz w:val="36"/>
          <w:szCs w:val="36"/>
          <w:lang w:bidi="ar"/>
        </w:rPr>
        <w:br w:type="page"/>
      </w:r>
    </w:p>
    <w:p>
      <w:pPr>
        <w:pStyle w:val="14"/>
        <w:spacing w:line="560" w:lineRule="exact"/>
        <w:ind w:firstLine="640"/>
        <w:rPr>
          <w:rFonts w:hint="eastAsia" w:ascii="黑体" w:hAnsi="黑体" w:eastAsia="黑体" w:cs="黑体"/>
          <w:lang w:bidi="ar"/>
        </w:rPr>
      </w:pPr>
      <w:r>
        <w:rPr>
          <w:rFonts w:hint="eastAsia" w:ascii="黑体" w:hAnsi="黑体" w:eastAsia="黑体" w:cs="黑体"/>
          <w:lang w:bidi="ar"/>
        </w:rPr>
        <w:t>附件3</w:t>
      </w:r>
    </w:p>
    <w:p>
      <w:pPr>
        <w:spacing w:line="480" w:lineRule="auto"/>
        <w:jc w:val="left"/>
        <w:rPr>
          <w:rFonts w:ascii="仿宋_GB2312" w:eastAsia="黑体"/>
          <w:b/>
          <w:bCs/>
          <w:sz w:val="36"/>
          <w:szCs w:val="36"/>
        </w:rPr>
      </w:pPr>
    </w:p>
    <w:p>
      <w:pPr>
        <w:spacing w:line="360" w:lineRule="auto"/>
        <w:jc w:val="center"/>
        <w:outlineLvl w:val="0"/>
        <w:rPr>
          <w:rFonts w:ascii="仿宋_GB2312" w:eastAsia="黑体"/>
          <w:b/>
          <w:bCs/>
          <w:sz w:val="36"/>
          <w:szCs w:val="36"/>
        </w:rPr>
      </w:pPr>
    </w:p>
    <w:p>
      <w:pPr>
        <w:spacing w:line="360" w:lineRule="auto"/>
        <w:jc w:val="center"/>
        <w:outlineLvl w:val="0"/>
        <w:rPr>
          <w:rFonts w:ascii="仿宋_GB2312" w:eastAsia="黑体"/>
          <w:b/>
          <w:bCs/>
          <w:sz w:val="36"/>
          <w:szCs w:val="36"/>
        </w:rPr>
      </w:pPr>
    </w:p>
    <w:p>
      <w:pPr>
        <w:spacing w:line="360" w:lineRule="auto"/>
        <w:jc w:val="center"/>
        <w:outlineLvl w:val="0"/>
        <w:rPr>
          <w:rFonts w:ascii="仿宋_GB2312" w:eastAsia="黑体"/>
          <w:b/>
          <w:bCs/>
          <w:sz w:val="36"/>
          <w:szCs w:val="36"/>
        </w:rPr>
      </w:pPr>
    </w:p>
    <w:p>
      <w:pPr>
        <w:jc w:val="center"/>
        <w:rPr>
          <w:rFonts w:hint="eastAsia" w:ascii="黑体" w:hAnsi="黑体" w:eastAsia="黑体"/>
          <w:b/>
          <w:bCs/>
          <w:sz w:val="36"/>
          <w:szCs w:val="36"/>
        </w:rPr>
      </w:pPr>
      <w:r>
        <w:rPr>
          <w:rFonts w:hint="eastAsia" w:ascii="黑体" w:hAnsi="黑体" w:eastAsia="黑体"/>
          <w:b/>
          <w:bCs/>
          <w:sz w:val="36"/>
          <w:szCs w:val="36"/>
        </w:rPr>
        <w:t>北京市项目支出绩效评价</w:t>
      </w:r>
      <w:r>
        <w:rPr>
          <w:rFonts w:ascii="黑体" w:hAnsi="黑体" w:eastAsia="黑体"/>
          <w:b/>
          <w:bCs/>
          <w:sz w:val="36"/>
          <w:szCs w:val="36"/>
        </w:rPr>
        <w:br w:type="textWrapping" w:clear="all"/>
      </w:r>
      <w:r>
        <w:rPr>
          <w:rFonts w:hint="eastAsia" w:ascii="黑体" w:hAnsi="黑体" w:eastAsia="黑体"/>
          <w:b/>
          <w:bCs/>
          <w:spacing w:val="20"/>
          <w:sz w:val="36"/>
          <w:szCs w:val="36"/>
        </w:rPr>
        <w:t>专家意见汇总书</w:t>
      </w:r>
      <w:r>
        <w:rPr>
          <w:rFonts w:ascii="黑体" w:hAnsi="黑体" w:eastAsia="黑体"/>
          <w:b/>
          <w:bCs/>
          <w:spacing w:val="20"/>
          <w:sz w:val="36"/>
          <w:szCs w:val="36"/>
        </w:rPr>
        <w:br w:type="textWrapping" w:clear="all"/>
      </w: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napToGrid w:val="0"/>
        <w:spacing w:line="420" w:lineRule="auto"/>
        <w:ind w:right="120" w:firstLine="1200" w:firstLineChars="500"/>
        <w:rPr>
          <w:rFonts w:hint="eastAsia" w:ascii="宋体" w:hAnsi="宋体"/>
          <w:sz w:val="24"/>
          <w:u w:val="single"/>
        </w:rPr>
      </w:pPr>
      <w:r>
        <w:rPr>
          <w:rFonts w:hint="eastAsia" w:ascii="宋体" w:hAnsi="宋体"/>
          <w:sz w:val="24"/>
        </w:rPr>
        <w:t>项目名称：</w:t>
      </w:r>
      <w:r>
        <w:rPr>
          <w:rFonts w:hint="eastAsia" w:ascii="宋体" w:hAnsi="宋体"/>
          <w:sz w:val="24"/>
          <w:u w:val="single"/>
        </w:rPr>
        <w:t>北京郊区100个村集体经济运行状况跟踪监测项目</w:t>
      </w:r>
    </w:p>
    <w:p>
      <w:pPr>
        <w:snapToGrid w:val="0"/>
        <w:spacing w:line="420" w:lineRule="auto"/>
        <w:ind w:right="120" w:firstLine="1200" w:firstLineChars="500"/>
        <w:rPr>
          <w:rFonts w:hint="eastAsia" w:ascii="宋体" w:hAnsi="宋体"/>
          <w:sz w:val="24"/>
        </w:rPr>
      </w:pPr>
      <w:r>
        <w:rPr>
          <w:rFonts w:hint="eastAsia" w:ascii="宋体" w:hAnsi="宋体"/>
          <w:sz w:val="24"/>
        </w:rPr>
        <w:t>项目单位：</w:t>
      </w:r>
      <w:r>
        <w:rPr>
          <w:rFonts w:hint="eastAsia" w:ascii="宋体" w:hAnsi="宋体"/>
          <w:sz w:val="24"/>
          <w:u w:val="single"/>
        </w:rPr>
        <w:t xml:space="preserve">        北京市农村经济研究中心（本级）      </w:t>
      </w:r>
    </w:p>
    <w:p>
      <w:pPr>
        <w:snapToGrid w:val="0"/>
        <w:spacing w:line="420" w:lineRule="auto"/>
        <w:ind w:right="120" w:firstLine="1200" w:firstLineChars="500"/>
        <w:rPr>
          <w:rFonts w:hint="eastAsia" w:ascii="宋体" w:hAnsi="宋体"/>
          <w:sz w:val="24"/>
          <w:u w:val="single"/>
        </w:rPr>
      </w:pPr>
      <w:r>
        <w:rPr>
          <w:rFonts w:hint="eastAsia" w:ascii="宋体" w:hAnsi="宋体"/>
          <w:sz w:val="24"/>
        </w:rPr>
        <w:t>主管部门：</w:t>
      </w:r>
      <w:r>
        <w:rPr>
          <w:rFonts w:hint="eastAsia" w:ascii="宋体" w:hAnsi="宋体"/>
          <w:sz w:val="24"/>
          <w:u w:val="single"/>
        </w:rPr>
        <w:t xml:space="preserve">            北京市农村经济研究中心          </w:t>
      </w:r>
    </w:p>
    <w:p>
      <w:pPr>
        <w:snapToGrid w:val="0"/>
        <w:spacing w:line="420" w:lineRule="auto"/>
        <w:ind w:firstLine="1200" w:firstLineChars="500"/>
        <w:rPr>
          <w:rFonts w:hint="eastAsia" w:ascii="宋体" w:hAnsi="宋体"/>
          <w:sz w:val="24"/>
        </w:rPr>
      </w:pPr>
      <w:r>
        <w:rPr>
          <w:rFonts w:hint="eastAsia" w:ascii="宋体" w:hAnsi="宋体"/>
          <w:sz w:val="24"/>
        </w:rPr>
        <w:t>评价时间：</w:t>
      </w:r>
      <w:r>
        <w:rPr>
          <w:rFonts w:ascii="宋体" w:hAnsi="宋体"/>
          <w:sz w:val="24"/>
          <w:u w:val="single"/>
        </w:rPr>
        <w:t xml:space="preserve">  </w:t>
      </w:r>
      <w:r>
        <w:rPr>
          <w:rFonts w:hint="eastAsia" w:ascii="宋体" w:hAnsi="宋体"/>
          <w:sz w:val="24"/>
          <w:u w:val="single"/>
        </w:rPr>
        <w:t xml:space="preserve">      2025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5  </w:t>
      </w:r>
      <w:r>
        <w:rPr>
          <w:rFonts w:hint="eastAsia" w:ascii="宋体" w:hAnsi="宋体"/>
          <w:sz w:val="24"/>
        </w:rPr>
        <w:t>月</w:t>
      </w:r>
      <w:r>
        <w:rPr>
          <w:rFonts w:hint="eastAsia" w:ascii="宋体" w:hAnsi="宋体"/>
          <w:sz w:val="24"/>
          <w:u w:val="single"/>
        </w:rPr>
        <w:t xml:space="preserve">  11  </w:t>
      </w:r>
      <w:r>
        <w:rPr>
          <w:rFonts w:hint="eastAsia" w:ascii="宋体" w:hAnsi="宋体"/>
          <w:sz w:val="24"/>
        </w:rPr>
        <w:t>日</w:t>
      </w:r>
      <w:r>
        <w:rPr>
          <w:rFonts w:hint="eastAsia" w:ascii="宋体" w:hAnsi="宋体"/>
          <w:sz w:val="24"/>
          <w:u w:val="single"/>
        </w:rPr>
        <w:t xml:space="preserve">          </w:t>
      </w:r>
    </w:p>
    <w:p>
      <w:pPr>
        <w:spacing w:after="240" w:line="360" w:lineRule="auto"/>
        <w:ind w:firstLine="640" w:firstLineChars="200"/>
        <w:rPr>
          <w:rFonts w:hint="eastAsia" w:ascii="仿宋_GB2312" w:hAnsi="宋体" w:eastAsia="仿宋_GB2312"/>
          <w:bCs/>
          <w:kern w:val="0"/>
          <w:sz w:val="32"/>
          <w:szCs w:val="28"/>
        </w:rPr>
      </w:pPr>
    </w:p>
    <w:p>
      <w:pPr>
        <w:ind w:firstLine="562"/>
        <w:rPr>
          <w:b/>
          <w:bCs/>
        </w:rPr>
      </w:pPr>
    </w:p>
    <w:p>
      <w:pPr>
        <w:ind w:firstLine="562"/>
        <w:rPr>
          <w:b/>
          <w:bCs/>
        </w:rPr>
      </w:pPr>
    </w:p>
    <w:p>
      <w:pPr>
        <w:jc w:val="center"/>
        <w:rPr>
          <w:rFonts w:hint="eastAsia" w:ascii="黑体" w:hAnsi="黑体" w:eastAsia="黑体" w:cs="黑体"/>
          <w:b/>
          <w:sz w:val="32"/>
        </w:rPr>
        <w:sectPr>
          <w:pgSz w:w="11906" w:h="16838"/>
          <w:pgMar w:top="1440" w:right="1800" w:bottom="1440" w:left="1800" w:header="851" w:footer="992" w:gutter="0"/>
          <w:cols w:space="425" w:num="1"/>
          <w:docGrid w:type="lines" w:linePitch="312" w:charSpace="0"/>
        </w:sectPr>
      </w:pPr>
    </w:p>
    <w:p>
      <w:pPr>
        <w:jc w:val="left"/>
        <w:rPr>
          <w:rFonts w:hint="eastAsia" w:ascii="黑体" w:hAnsi="黑体" w:eastAsia="黑体" w:cs="黑体"/>
          <w:b/>
          <w:sz w:val="32"/>
        </w:rPr>
      </w:pPr>
      <w:r>
        <w:rPr>
          <w:rFonts w:hint="eastAsia" w:ascii="仿宋_GB2312" w:hAnsi="仿宋_GB2312" w:eastAsia="仿宋_GB2312" w:cs="仿宋_GB2312"/>
          <w:b/>
          <w:bCs/>
          <w:kern w:val="0"/>
          <w:sz w:val="32"/>
          <w:szCs w:val="32"/>
        </w:rPr>
        <w:t>一、专家评分汇总表</w:t>
      </w:r>
    </w:p>
    <w:tbl>
      <w:tblPr>
        <w:tblStyle w:val="15"/>
        <w:tblW w:w="8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2568"/>
        <w:gridCol w:w="784"/>
        <w:gridCol w:w="1068"/>
        <w:gridCol w:w="1151"/>
        <w:gridCol w:w="1110"/>
        <w:gridCol w:w="1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055" w:type="dxa"/>
            <w:gridSpan w:val="3"/>
            <w:vAlign w:val="center"/>
          </w:tcPr>
          <w:p>
            <w:pPr>
              <w:widowControl/>
              <w:jc w:val="center"/>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评价指标及分值</w:t>
            </w:r>
          </w:p>
        </w:tc>
        <w:tc>
          <w:tcPr>
            <w:tcW w:w="4443" w:type="dxa"/>
            <w:gridSpan w:val="4"/>
            <w:vAlign w:val="center"/>
          </w:tcPr>
          <w:p>
            <w:pPr>
              <w:widowControl/>
              <w:jc w:val="center"/>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专家评分汇总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3271" w:type="dxa"/>
            <w:gridSpan w:val="2"/>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bCs/>
                <w:kern w:val="0"/>
                <w:sz w:val="24"/>
              </w:rPr>
              <w:t>评价指标</w:t>
            </w:r>
          </w:p>
        </w:tc>
        <w:tc>
          <w:tcPr>
            <w:tcW w:w="784" w:type="dxa"/>
            <w:vAlign w:val="center"/>
          </w:tcPr>
          <w:p>
            <w:pPr>
              <w:widowControl/>
              <w:jc w:val="center"/>
              <w:rPr>
                <w:rFonts w:hint="eastAsia" w:ascii="仿宋_GB2312" w:hAnsi="仿宋_GB2312" w:eastAsia="仿宋_GB2312" w:cs="仿宋_GB2312"/>
                <w:b/>
                <w:sz w:val="24"/>
              </w:rPr>
            </w:pPr>
            <w:r>
              <w:rPr>
                <w:rFonts w:hint="eastAsia" w:ascii="仿宋_GB2312" w:hAnsi="仿宋_GB2312" w:eastAsia="仿宋_GB2312" w:cs="仿宋_GB2312"/>
                <w:b/>
                <w:bCs/>
                <w:kern w:val="0"/>
                <w:sz w:val="24"/>
              </w:rPr>
              <w:t>分值</w:t>
            </w:r>
          </w:p>
        </w:tc>
        <w:tc>
          <w:tcPr>
            <w:tcW w:w="1068" w:type="dxa"/>
            <w:vAlign w:val="center"/>
          </w:tcPr>
          <w:p>
            <w:pPr>
              <w:widowControl/>
              <w:jc w:val="center"/>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专家1</w:t>
            </w:r>
          </w:p>
        </w:tc>
        <w:tc>
          <w:tcPr>
            <w:tcW w:w="1151" w:type="dxa"/>
            <w:vAlign w:val="center"/>
          </w:tcPr>
          <w:p>
            <w:pPr>
              <w:widowControl/>
              <w:jc w:val="center"/>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专家2</w:t>
            </w:r>
          </w:p>
        </w:tc>
        <w:tc>
          <w:tcPr>
            <w:tcW w:w="1110" w:type="dxa"/>
            <w:vAlign w:val="center"/>
          </w:tcPr>
          <w:p>
            <w:pPr>
              <w:widowControl/>
              <w:jc w:val="center"/>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专家3</w:t>
            </w:r>
          </w:p>
        </w:tc>
        <w:tc>
          <w:tcPr>
            <w:tcW w:w="1114" w:type="dxa"/>
            <w:vAlign w:val="center"/>
          </w:tcPr>
          <w:p>
            <w:pPr>
              <w:widowControl/>
              <w:jc w:val="center"/>
              <w:rPr>
                <w:rFonts w:hint="eastAsia" w:ascii="仿宋_GB2312" w:hAnsi="仿宋_GB2312" w:eastAsia="仿宋_GB2312" w:cs="仿宋_GB2312"/>
                <w:b/>
                <w:bCs/>
                <w:kern w:val="0"/>
                <w:sz w:val="24"/>
              </w:rPr>
            </w:pPr>
            <w:r>
              <w:rPr>
                <w:rFonts w:hint="eastAsia" w:ascii="仿宋_GB2312" w:hAnsi="仿宋_GB2312" w:eastAsia="仿宋_GB2312" w:cs="仿宋_GB2312"/>
                <w:b/>
                <w:bCs/>
                <w:kern w:val="0"/>
                <w:sz w:val="24"/>
              </w:rPr>
              <w:t>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restart"/>
            <w:vAlign w:val="center"/>
          </w:tcPr>
          <w:p>
            <w:pPr>
              <w:jc w:val="center"/>
              <w:rPr>
                <w:rFonts w:hint="eastAsia" w:ascii="仿宋_GB2312" w:hAnsi="仿宋_GB2312" w:eastAsia="仿宋_GB2312" w:cs="仿宋_GB2312"/>
                <w:sz w:val="24"/>
              </w:rPr>
            </w:pPr>
            <w:r>
              <w:rPr>
                <w:rFonts w:hint="eastAsia" w:ascii="仿宋_GB2312" w:hAnsi="仿宋_GB2312" w:eastAsia="仿宋_GB2312" w:cs="仿宋_GB2312"/>
                <w:b/>
                <w:bCs/>
                <w:kern w:val="0"/>
                <w:sz w:val="24"/>
              </w:rPr>
              <w:t>决策</w:t>
            </w: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b/>
                <w:bCs/>
                <w:kern w:val="0"/>
                <w:sz w:val="24"/>
              </w:rPr>
              <w:t>项目立项</w:t>
            </w:r>
          </w:p>
        </w:tc>
        <w:tc>
          <w:tcPr>
            <w:tcW w:w="78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4</w:t>
            </w:r>
          </w:p>
        </w:tc>
        <w:tc>
          <w:tcPr>
            <w:tcW w:w="1068"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3.80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4.00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3.50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3.77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rPr>
                <w:rFonts w:hint="eastAsia" w:ascii="仿宋_GB2312" w:hAnsi="仿宋_GB2312" w:eastAsia="仿宋_GB2312" w:cs="仿宋_GB2312"/>
                <w:b/>
                <w:sz w:val="24"/>
              </w:rPr>
            </w:pPr>
            <w:r>
              <w:rPr>
                <w:rFonts w:hint="eastAsia" w:ascii="仿宋_GB2312" w:hAnsi="仿宋_GB2312" w:eastAsia="仿宋_GB2312" w:cs="仿宋_GB2312"/>
                <w:sz w:val="24"/>
              </w:rPr>
              <w:t>立项依据充分性</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2</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2.00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2.00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2.00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rPr>
                <w:rFonts w:hint="eastAsia" w:ascii="仿宋_GB2312" w:hAnsi="仿宋_GB2312" w:eastAsia="仿宋_GB2312" w:cs="仿宋_GB2312"/>
                <w:b/>
                <w:sz w:val="24"/>
              </w:rPr>
            </w:pPr>
            <w:r>
              <w:rPr>
                <w:rFonts w:hint="eastAsia" w:ascii="仿宋_GB2312" w:hAnsi="仿宋_GB2312" w:eastAsia="仿宋_GB2312" w:cs="仿宋_GB2312"/>
                <w:sz w:val="24"/>
              </w:rPr>
              <w:t>立项程序规范性</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2</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1.80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2.00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1.50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1.77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b/>
                <w:bCs/>
                <w:kern w:val="0"/>
                <w:sz w:val="24"/>
              </w:rPr>
              <w:t>绩效目标</w:t>
            </w:r>
          </w:p>
        </w:tc>
        <w:tc>
          <w:tcPr>
            <w:tcW w:w="78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3</w:t>
            </w:r>
          </w:p>
        </w:tc>
        <w:tc>
          <w:tcPr>
            <w:tcW w:w="1068"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2.30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2.50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2.50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2.43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kern w:val="0"/>
                <w:sz w:val="24"/>
              </w:rPr>
              <w:t>绩效目标合理性</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2</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1.50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2.00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2.00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1.83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kern w:val="0"/>
                <w:sz w:val="24"/>
              </w:rPr>
              <w:t>绩效指标明确性</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1</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0.80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0.50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0.50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0.60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b/>
                <w:bCs/>
                <w:kern w:val="0"/>
                <w:sz w:val="24"/>
              </w:rPr>
              <w:t>资金投入</w:t>
            </w:r>
          </w:p>
        </w:tc>
        <w:tc>
          <w:tcPr>
            <w:tcW w:w="78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3</w:t>
            </w:r>
          </w:p>
        </w:tc>
        <w:tc>
          <w:tcPr>
            <w:tcW w:w="1068"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3.00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3.00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3.00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kern w:val="0"/>
                <w:sz w:val="24"/>
              </w:rPr>
              <w:t>预算编制科学性</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2</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2.00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2.00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2.00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kern w:val="0"/>
                <w:sz w:val="24"/>
              </w:rPr>
              <w:t>资金分配合理性</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1</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1.00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1.00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1.00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restart"/>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bCs/>
                <w:kern w:val="0"/>
                <w:sz w:val="24"/>
              </w:rPr>
              <w:t>过程</w:t>
            </w: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b/>
                <w:bCs/>
                <w:kern w:val="0"/>
                <w:sz w:val="24"/>
              </w:rPr>
              <w:t>资金管理</w:t>
            </w:r>
          </w:p>
        </w:tc>
        <w:tc>
          <w:tcPr>
            <w:tcW w:w="78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10</w:t>
            </w:r>
          </w:p>
        </w:tc>
        <w:tc>
          <w:tcPr>
            <w:tcW w:w="1068"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9.50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10.00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9.00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9.50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kern w:val="0"/>
                <w:sz w:val="24"/>
              </w:rPr>
              <w:t>资金到位率</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2</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2.00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2.00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2.00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kern w:val="0"/>
                <w:sz w:val="24"/>
              </w:rPr>
              <w:t>预算执行率</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5</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5.00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5.00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5.00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kern w:val="0"/>
                <w:sz w:val="24"/>
              </w:rPr>
              <w:t>资金使用合规性</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3</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2.50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3.00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2.00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2.50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b/>
                <w:bCs/>
                <w:kern w:val="0"/>
                <w:sz w:val="24"/>
              </w:rPr>
              <w:t>组织实施</w:t>
            </w:r>
          </w:p>
        </w:tc>
        <w:tc>
          <w:tcPr>
            <w:tcW w:w="78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10</w:t>
            </w:r>
          </w:p>
        </w:tc>
        <w:tc>
          <w:tcPr>
            <w:tcW w:w="1068"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9.00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8.50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8.50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8.67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kern w:val="0"/>
                <w:sz w:val="24"/>
              </w:rPr>
              <w:t>管理制度健全性</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5</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5.00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5.00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5.00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kern w:val="0"/>
                <w:sz w:val="24"/>
              </w:rPr>
              <w:t>制度执行有效性</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5</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4.00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3.50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3.50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3.67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restart"/>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kern w:val="0"/>
                <w:sz w:val="24"/>
              </w:rPr>
              <w:t>产出</w:t>
            </w: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b/>
                <w:kern w:val="0"/>
                <w:sz w:val="24"/>
              </w:rPr>
              <w:t>产出数量</w:t>
            </w:r>
          </w:p>
        </w:tc>
        <w:tc>
          <w:tcPr>
            <w:tcW w:w="78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10</w:t>
            </w:r>
          </w:p>
        </w:tc>
        <w:tc>
          <w:tcPr>
            <w:tcW w:w="1068"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9.00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10.00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9.00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9.33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kern w:val="0"/>
                <w:sz w:val="24"/>
              </w:rPr>
              <w:t>实际完成率</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10</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9.00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kern w:val="0"/>
                <w:sz w:val="22"/>
                <w:szCs w:val="22"/>
                <w:lang w:bidi="ar"/>
              </w:rPr>
              <w:t xml:space="preserve">10.00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color w:val="000000"/>
                <w:kern w:val="0"/>
                <w:sz w:val="22"/>
                <w:szCs w:val="22"/>
                <w:lang w:bidi="ar"/>
              </w:rPr>
              <w:t xml:space="preserve">9.00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color w:val="000000"/>
                <w:kern w:val="0"/>
                <w:sz w:val="22"/>
                <w:szCs w:val="22"/>
                <w:lang w:bidi="ar"/>
              </w:rPr>
              <w:t xml:space="preserve">9.33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b/>
                <w:kern w:val="0"/>
                <w:sz w:val="24"/>
              </w:rPr>
              <w:t>产出质量</w:t>
            </w:r>
          </w:p>
        </w:tc>
        <w:tc>
          <w:tcPr>
            <w:tcW w:w="78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10</w:t>
            </w:r>
          </w:p>
        </w:tc>
        <w:tc>
          <w:tcPr>
            <w:tcW w:w="1068"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8.00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9.00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8.00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8.33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bCs/>
                <w:kern w:val="0"/>
                <w:sz w:val="24"/>
              </w:rPr>
              <w:t>质量达标率</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10</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8.00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kern w:val="0"/>
                <w:sz w:val="22"/>
                <w:szCs w:val="22"/>
                <w:lang w:bidi="ar"/>
              </w:rPr>
              <w:t xml:space="preserve">9.00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color w:val="000000"/>
                <w:kern w:val="0"/>
                <w:sz w:val="22"/>
                <w:szCs w:val="22"/>
                <w:lang w:bidi="ar"/>
              </w:rPr>
              <w:t xml:space="preserve">8.00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color w:val="000000"/>
                <w:kern w:val="0"/>
                <w:sz w:val="22"/>
                <w:szCs w:val="22"/>
                <w:lang w:bidi="ar"/>
              </w:rPr>
              <w:t xml:space="preserve">8.33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b/>
                <w:kern w:val="0"/>
                <w:sz w:val="24"/>
              </w:rPr>
              <w:t>产出时效</w:t>
            </w:r>
          </w:p>
        </w:tc>
        <w:tc>
          <w:tcPr>
            <w:tcW w:w="78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10</w:t>
            </w:r>
          </w:p>
        </w:tc>
        <w:tc>
          <w:tcPr>
            <w:tcW w:w="1068"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10.00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9.00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10.00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9.67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rPr>
                <w:rFonts w:hint="eastAsia" w:ascii="仿宋_GB2312" w:hAnsi="仿宋_GB2312" w:eastAsia="仿宋_GB2312" w:cs="仿宋_GB2312"/>
                <w:b/>
                <w:sz w:val="24"/>
              </w:rPr>
            </w:pPr>
            <w:r>
              <w:rPr>
                <w:rFonts w:hint="eastAsia" w:ascii="仿宋_GB2312" w:hAnsi="仿宋_GB2312" w:eastAsia="仿宋_GB2312" w:cs="仿宋_GB2312"/>
                <w:kern w:val="0"/>
                <w:sz w:val="24"/>
              </w:rPr>
              <w:t>完成及时性</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10</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10.00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kern w:val="0"/>
                <w:sz w:val="22"/>
                <w:szCs w:val="22"/>
                <w:lang w:bidi="ar"/>
              </w:rPr>
              <w:t xml:space="preserve">9.00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color w:val="000000"/>
                <w:kern w:val="0"/>
                <w:sz w:val="22"/>
                <w:szCs w:val="22"/>
                <w:lang w:bidi="ar"/>
              </w:rPr>
              <w:t xml:space="preserve">10.00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color w:val="000000"/>
                <w:kern w:val="0"/>
                <w:sz w:val="22"/>
                <w:szCs w:val="22"/>
                <w:lang w:bidi="ar"/>
              </w:rPr>
              <w:t xml:space="preserve">9.67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rPr>
                <w:rFonts w:hint="eastAsia" w:ascii="仿宋_GB2312" w:hAnsi="仿宋_GB2312" w:eastAsia="仿宋_GB2312" w:cs="仿宋_GB2312"/>
                <w:b/>
                <w:sz w:val="24"/>
              </w:rPr>
            </w:pPr>
            <w:r>
              <w:rPr>
                <w:rFonts w:hint="eastAsia" w:ascii="仿宋_GB2312" w:hAnsi="仿宋_GB2312" w:eastAsia="仿宋_GB2312" w:cs="仿宋_GB2312"/>
                <w:b/>
                <w:kern w:val="0"/>
                <w:sz w:val="24"/>
              </w:rPr>
              <w:t>产出成本</w:t>
            </w:r>
          </w:p>
        </w:tc>
        <w:tc>
          <w:tcPr>
            <w:tcW w:w="78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10</w:t>
            </w:r>
          </w:p>
        </w:tc>
        <w:tc>
          <w:tcPr>
            <w:tcW w:w="1068"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8.00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2.00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8.00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rPr>
                <w:rFonts w:hint="eastAsia" w:ascii="仿宋_GB2312" w:hAnsi="仿宋_GB2312" w:eastAsia="仿宋_GB2312" w:cs="仿宋_GB2312"/>
                <w:b/>
                <w:sz w:val="24"/>
              </w:rPr>
            </w:pPr>
            <w:r>
              <w:rPr>
                <w:rFonts w:hint="eastAsia" w:ascii="仿宋_GB2312" w:hAnsi="仿宋_GB2312" w:eastAsia="仿宋_GB2312" w:cs="仿宋_GB2312"/>
                <w:kern w:val="0"/>
                <w:sz w:val="24"/>
              </w:rPr>
              <w:t>成本节约率</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10</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8.00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kern w:val="0"/>
                <w:sz w:val="22"/>
                <w:szCs w:val="22"/>
                <w:lang w:bidi="ar"/>
              </w:rPr>
              <w:t xml:space="preserve">2.00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color w:val="000000"/>
                <w:kern w:val="0"/>
                <w:sz w:val="22"/>
                <w:szCs w:val="22"/>
                <w:lang w:bidi="ar"/>
              </w:rPr>
              <w:t xml:space="preserve">8.00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color w:val="000000"/>
                <w:kern w:val="0"/>
                <w:sz w:val="22"/>
                <w:szCs w:val="22"/>
                <w:lang w:bidi="ar"/>
              </w:rPr>
              <w:t xml:space="preserve">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restart"/>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kern w:val="0"/>
                <w:sz w:val="24"/>
              </w:rPr>
              <w:t>效益</w:t>
            </w:r>
          </w:p>
        </w:tc>
        <w:tc>
          <w:tcPr>
            <w:tcW w:w="2568" w:type="dxa"/>
            <w:vAlign w:val="center"/>
          </w:tcPr>
          <w:p>
            <w:pPr>
              <w:rPr>
                <w:rFonts w:hint="eastAsia" w:ascii="仿宋_GB2312" w:hAnsi="仿宋_GB2312" w:eastAsia="仿宋_GB2312" w:cs="仿宋_GB2312"/>
                <w:b/>
                <w:sz w:val="24"/>
              </w:rPr>
            </w:pPr>
            <w:r>
              <w:rPr>
                <w:rFonts w:hint="eastAsia" w:ascii="仿宋_GB2312" w:hAnsi="仿宋_GB2312" w:eastAsia="仿宋_GB2312" w:cs="仿宋_GB2312"/>
                <w:b/>
                <w:kern w:val="0"/>
                <w:sz w:val="24"/>
              </w:rPr>
              <w:t>项目效益</w:t>
            </w:r>
          </w:p>
        </w:tc>
        <w:tc>
          <w:tcPr>
            <w:tcW w:w="78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30</w:t>
            </w:r>
          </w:p>
        </w:tc>
        <w:tc>
          <w:tcPr>
            <w:tcW w:w="1068"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22.00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29.00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21.50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24.17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jc w:val="left"/>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bidi="ar"/>
              </w:rPr>
              <w:t>产生的社会效益</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6</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6.00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6.00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4.50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5.50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jc w:val="left"/>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bidi="ar"/>
              </w:rPr>
              <w:t>产生的经济效益</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6</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2.00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6.00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4.00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jc w:val="left"/>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bidi="ar"/>
              </w:rPr>
              <w:t>产生的可持续影响</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6</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5.00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6.00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5.00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5.33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jc w:val="left"/>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bidi="ar"/>
              </w:rPr>
              <w:t>产生的生态效益</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6</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5.00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6.00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5.00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5.33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703" w:type="dxa"/>
            <w:vMerge w:val="continue"/>
            <w:vAlign w:val="center"/>
          </w:tcPr>
          <w:p>
            <w:pPr>
              <w:jc w:val="center"/>
              <w:rPr>
                <w:rFonts w:hint="eastAsia" w:ascii="仿宋_GB2312" w:hAnsi="仿宋_GB2312" w:eastAsia="仿宋_GB2312" w:cs="仿宋_GB2312"/>
                <w:b/>
                <w:sz w:val="24"/>
              </w:rPr>
            </w:pPr>
          </w:p>
        </w:tc>
        <w:tc>
          <w:tcPr>
            <w:tcW w:w="2568" w:type="dxa"/>
            <w:vAlign w:val="center"/>
          </w:tcPr>
          <w:p>
            <w:pPr>
              <w:widowControl/>
              <w:jc w:val="left"/>
              <w:textAlignment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bidi="ar"/>
              </w:rPr>
              <w:t>服务对象满意度指标</w:t>
            </w:r>
          </w:p>
        </w:tc>
        <w:tc>
          <w:tcPr>
            <w:tcW w:w="784" w:type="dxa"/>
            <w:vAlign w:val="center"/>
          </w:tcPr>
          <w:p>
            <w:pPr>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6</w:t>
            </w:r>
          </w:p>
        </w:tc>
        <w:tc>
          <w:tcPr>
            <w:tcW w:w="1068"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4.00 </w:t>
            </w:r>
          </w:p>
        </w:tc>
        <w:tc>
          <w:tcPr>
            <w:tcW w:w="1151"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kern w:val="0"/>
                <w:sz w:val="22"/>
                <w:szCs w:val="22"/>
                <w:lang w:bidi="ar"/>
              </w:rPr>
              <w:t xml:space="preserve">5.00 </w:t>
            </w:r>
          </w:p>
        </w:tc>
        <w:tc>
          <w:tcPr>
            <w:tcW w:w="1110"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3.00 </w:t>
            </w:r>
          </w:p>
        </w:tc>
        <w:tc>
          <w:tcPr>
            <w:tcW w:w="1114" w:type="dxa"/>
            <w:vAlign w:val="center"/>
          </w:tcPr>
          <w:p>
            <w:pPr>
              <w:widowControl/>
              <w:jc w:val="center"/>
              <w:textAlignment w:val="center"/>
              <w:rPr>
                <w:rFonts w:hint="eastAsia" w:ascii="仿宋_GB2312" w:hAnsi="仿宋_GB2312" w:eastAsia="仿宋_GB2312" w:cs="仿宋_GB2312"/>
                <w:bCs/>
                <w:sz w:val="24"/>
              </w:rPr>
            </w:pPr>
            <w:r>
              <w:rPr>
                <w:rFonts w:hint="eastAsia" w:ascii="宋体" w:hAnsi="宋体" w:cs="宋体"/>
                <w:color w:val="000000"/>
                <w:kern w:val="0"/>
                <w:sz w:val="22"/>
                <w:szCs w:val="22"/>
                <w:lang w:bidi="ar"/>
              </w:rPr>
              <w:t xml:space="preserve">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3271" w:type="dxa"/>
            <w:gridSpan w:val="2"/>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合计</w:t>
            </w:r>
          </w:p>
        </w:tc>
        <w:tc>
          <w:tcPr>
            <w:tcW w:w="78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100</w:t>
            </w:r>
          </w:p>
        </w:tc>
        <w:tc>
          <w:tcPr>
            <w:tcW w:w="1068"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84.60 </w:t>
            </w:r>
          </w:p>
        </w:tc>
        <w:tc>
          <w:tcPr>
            <w:tcW w:w="1151"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87.00 </w:t>
            </w:r>
          </w:p>
        </w:tc>
        <w:tc>
          <w:tcPr>
            <w:tcW w:w="1110"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kern w:val="0"/>
                <w:sz w:val="22"/>
                <w:szCs w:val="22"/>
                <w:lang w:bidi="ar"/>
              </w:rPr>
              <w:t xml:space="preserve">83.00 </w:t>
            </w:r>
          </w:p>
        </w:tc>
        <w:tc>
          <w:tcPr>
            <w:tcW w:w="1114" w:type="dxa"/>
            <w:vAlign w:val="center"/>
          </w:tcPr>
          <w:p>
            <w:pPr>
              <w:widowControl/>
              <w:jc w:val="center"/>
              <w:textAlignment w:val="center"/>
              <w:rPr>
                <w:rFonts w:hint="eastAsia" w:ascii="仿宋_GB2312" w:hAnsi="仿宋_GB2312" w:eastAsia="仿宋_GB2312" w:cs="仿宋_GB2312"/>
                <w:b/>
                <w:sz w:val="24"/>
              </w:rPr>
            </w:pPr>
            <w:r>
              <w:rPr>
                <w:rFonts w:hint="eastAsia" w:ascii="宋体" w:hAnsi="宋体" w:cs="宋体"/>
                <w:b/>
                <w:bCs/>
                <w:color w:val="000000"/>
                <w:kern w:val="0"/>
                <w:sz w:val="22"/>
                <w:szCs w:val="22"/>
                <w:lang w:bidi="ar"/>
              </w:rPr>
              <w:t xml:space="preserve">84.87 </w:t>
            </w:r>
          </w:p>
        </w:tc>
      </w:tr>
    </w:tbl>
    <w:p>
      <w:pPr>
        <w:jc w:val="left"/>
        <w:rPr>
          <w:rFonts w:hint="eastAsia" w:ascii="黑体" w:hAnsi="黑体" w:eastAsia="黑体" w:cs="黑体"/>
          <w:b/>
          <w:sz w:val="32"/>
        </w:rPr>
      </w:pPr>
      <w:r>
        <w:rPr>
          <w:rFonts w:hint="eastAsia" w:ascii="仿宋_GB2312" w:hAnsi="仿宋_GB2312" w:eastAsia="仿宋_GB2312" w:cs="仿宋_GB2312"/>
          <w:b/>
          <w:bCs/>
          <w:kern w:val="0"/>
          <w:sz w:val="32"/>
          <w:szCs w:val="32"/>
        </w:rPr>
        <w:t>二、专家评价综合意见</w:t>
      </w:r>
    </w:p>
    <w:tbl>
      <w:tblPr>
        <w:tblStyle w:val="15"/>
        <w:tblW w:w="8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4"/>
        <w:gridCol w:w="5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7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评价得分</w:t>
            </w:r>
          </w:p>
        </w:tc>
        <w:tc>
          <w:tcPr>
            <w:tcW w:w="5629" w:type="dxa"/>
            <w:vAlign w:val="center"/>
          </w:tcPr>
          <w:p>
            <w:pPr>
              <w:snapToGrid w:val="0"/>
              <w:ind w:firstLine="722" w:firstLineChars="300"/>
              <w:jc w:val="left"/>
              <w:rPr>
                <w:rFonts w:hint="eastAsia" w:ascii="仿宋_GB2312" w:hAnsi="仿宋_GB2312" w:eastAsia="仿宋_GB2312" w:cs="仿宋_GB2312"/>
                <w:b/>
                <w:sz w:val="24"/>
              </w:rPr>
            </w:pPr>
            <w:r>
              <w:rPr>
                <w:rFonts w:hint="eastAsia" w:ascii="仿宋_GB2312" w:hAnsi="仿宋_GB2312" w:eastAsia="仿宋_GB2312" w:cs="仿宋_GB2312"/>
                <w:b/>
                <w:sz w:val="24"/>
              </w:rPr>
              <w:t>84.87分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74" w:type="dxa"/>
            <w:vAlign w:val="center"/>
          </w:tcPr>
          <w:p>
            <w:pPr>
              <w:jc w:val="center"/>
              <w:rPr>
                <w:rFonts w:hint="eastAsia" w:ascii="仿宋_GB2312" w:hAnsi="仿宋_GB2312" w:eastAsia="仿宋_GB2312" w:cs="仿宋_GB2312"/>
                <w:b/>
                <w:sz w:val="24"/>
              </w:rPr>
            </w:pPr>
            <w:r>
              <w:rPr>
                <w:rFonts w:hint="eastAsia" w:ascii="仿宋_GB2312" w:hAnsi="仿宋_GB2312" w:eastAsia="仿宋_GB2312" w:cs="仿宋_GB2312"/>
                <w:b/>
                <w:sz w:val="24"/>
              </w:rPr>
              <w:t>绩效级别</w:t>
            </w:r>
          </w:p>
        </w:tc>
        <w:tc>
          <w:tcPr>
            <w:tcW w:w="5629" w:type="dxa"/>
            <w:vAlign w:val="center"/>
          </w:tcPr>
          <w:p>
            <w:pPr>
              <w:jc w:val="left"/>
              <w:rPr>
                <w:rFonts w:hint="eastAsia" w:ascii="仿宋_GB2312" w:hAnsi="仿宋_GB2312" w:eastAsia="仿宋_GB2312" w:cs="仿宋_GB2312"/>
                <w:sz w:val="24"/>
              </w:rPr>
            </w:pPr>
            <w:r>
              <w:rPr>
                <w:rFonts w:hint="eastAsia" w:ascii="仿宋_GB2312" w:hAnsi="仿宋_GB2312" w:eastAsia="仿宋_GB2312" w:cs="仿宋_GB2312"/>
                <w:sz w:val="24"/>
              </w:rPr>
              <w:t xml:space="preserve">优（90分以上）□           良（80-90分）  </w:t>
            </w:r>
            <w:r>
              <w:rPr>
                <w:rFonts w:hint="eastAsia" w:ascii="仿宋_GB2312" w:hAnsi="仿宋_GB2312" w:eastAsia="仿宋_GB2312" w:cs="仿宋_GB2312"/>
                <w:sz w:val="24"/>
              </w:rPr>
              <w:sym w:font="Wingdings 2" w:char="0052"/>
            </w:r>
          </w:p>
          <w:p>
            <w:pPr>
              <w:jc w:val="left"/>
              <w:rPr>
                <w:rFonts w:hint="eastAsia" w:ascii="仿宋_GB2312" w:hAnsi="仿宋_GB2312" w:eastAsia="仿宋_GB2312" w:cs="仿宋_GB2312"/>
                <w:b/>
                <w:sz w:val="24"/>
              </w:rPr>
            </w:pPr>
            <w:r>
              <w:rPr>
                <w:rFonts w:hint="eastAsia" w:ascii="仿宋_GB2312" w:hAnsi="仿宋_GB2312" w:eastAsia="仿宋_GB2312" w:cs="仿宋_GB2312"/>
                <w:sz w:val="24"/>
              </w:rPr>
              <w:t>中（60-80分） □           差（60分以下）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03" w:type="dxa"/>
            <w:gridSpan w:val="2"/>
          </w:tcPr>
          <w:p>
            <w:pPr>
              <w:spacing w:line="500" w:lineRule="exact"/>
              <w:jc w:val="left"/>
              <w:rPr>
                <w:rFonts w:hint="eastAsia" w:ascii="仿宋_GB2312" w:hAnsi="仿宋_GB2312" w:eastAsia="仿宋_GB2312" w:cs="仿宋_GB2312"/>
                <w:b/>
                <w:sz w:val="24"/>
              </w:rPr>
            </w:pPr>
            <w:r>
              <w:rPr>
                <w:rFonts w:hint="eastAsia" w:ascii="仿宋_GB2312" w:hAnsi="仿宋_GB2312" w:eastAsia="仿宋_GB2312" w:cs="仿宋_GB2312"/>
                <w:b/>
                <w:sz w:val="24"/>
              </w:rPr>
              <w:t>问题：</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一、项目决策</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1.项目的决策规范性不足，在可行论证阶段被委托单位就提前介入参与。</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2.项目绩效目标制定的合理性、科学性、全面性、可考性、可衡量性存在不足。首先项目的数量指标有缺失，未包含百村千户的4年的相关数据，这个依据填报系统应该可以计算出来，构建服务决策咨询的数据库和案例库多大数据量也未明确；其次是质量指标未包括百村千户的监测数据质量和监测数据分析报告的公开发表文章的数量这些必要的质量数据、质量指标将“通过项目验收”为标准，缺乏量化指标；再次是经济效益指标不科学，无法界定项目对壮大集体经济组织经营性收入的提升额。最后是项目的可持续指标和社会效益指标量化不足。</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二、项目管理</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1.项目管理过程不够严谨和规范。首先缺少项目的实施方案。只提供了京郊100个村集体经济运行状况跟踪监测点工作方案，虽然这是项目的核心内容，但不是项目的全部内容</w:t>
            </w:r>
            <w:r>
              <w:rPr>
                <w:rFonts w:hint="eastAsia" w:asciiTheme="minorEastAsia" w:hAnsiTheme="minorEastAsia" w:eastAsiaTheme="minorEastAsia" w:cstheme="minorEastAsia"/>
                <w:kern w:val="0"/>
                <w:sz w:val="24"/>
                <w:szCs w:val="22"/>
                <w:lang w:eastAsia="zh-CN"/>
              </w:rPr>
              <w:t>。</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2.项目过程的跟踪监管、质量保证措施等不清晰，缺少组织实施过程、对委托业务单位的遴选程序、过程控制、培训效果评估等预案</w:t>
            </w:r>
            <w:r>
              <w:rPr>
                <w:rFonts w:hint="eastAsia" w:asciiTheme="minorEastAsia" w:hAnsiTheme="minorEastAsia" w:eastAsiaTheme="minorEastAsia" w:cstheme="minorEastAsia"/>
                <w:kern w:val="0"/>
                <w:sz w:val="24"/>
                <w:szCs w:val="22"/>
                <w:lang w:eastAsia="zh-CN"/>
              </w:rPr>
              <w:t>。</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3.被委托单位报价与预算批复价格完全一致，存在瑕疵；委托业务费尾款支付没有结项验收程序。合同签订授权书非本项目。</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4.项目预算评审报告，送审176.19万元、审定（预算批复）159.69万；实际支出157.66万元，预算执行率98.73%。培训参加人员24人请假未参加，培训费支出与预算批复一致，合理性不足。项目成本控制，节约率1.27%。</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三、项目绩效</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1.无明确的成本节约效果。</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2.绩效目标申报表产出指标、质量标准不够明确，项目产出和质量达标缺少评价依据。</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3.“9月底前完成支出进度75%”实际仅完成50.05%，预算执行进度滞后。</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4.项目效益指标缺少数据和资料支撑，缺少成果利用、效益呈现的凝练、挖掘和总结。</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5.项目用户满意度指标设置不合理，也未提供相应的支撑材料；满意度调查问卷，只提供了培训内容102份，满意度77.8%，未达到预期，其他项目内容没有满意度相关呈现。</w:t>
            </w:r>
          </w:p>
          <w:p>
            <w:pPr>
              <w:widowControl/>
              <w:spacing w:line="500" w:lineRule="exact"/>
              <w:ind w:firstLine="481" w:firstLineChars="200"/>
              <w:jc w:val="left"/>
              <w:rPr>
                <w:rFonts w:hint="eastAsia" w:ascii="仿宋_GB2312" w:hAnsi="仿宋_GB2312" w:eastAsia="仿宋_GB2312" w:cs="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03" w:type="dxa"/>
            <w:gridSpan w:val="2"/>
          </w:tcPr>
          <w:p>
            <w:pPr>
              <w:spacing w:line="500" w:lineRule="exact"/>
              <w:jc w:val="left"/>
              <w:rPr>
                <w:rFonts w:hint="eastAsia" w:ascii="仿宋_GB2312" w:hAnsi="仿宋_GB2312" w:eastAsia="仿宋_GB2312" w:cs="仿宋_GB2312"/>
                <w:b/>
                <w:sz w:val="24"/>
              </w:rPr>
            </w:pPr>
            <w:r>
              <w:rPr>
                <w:rFonts w:hint="eastAsia" w:ascii="仿宋_GB2312" w:hAnsi="仿宋_GB2312" w:eastAsia="仿宋_GB2312" w:cs="仿宋_GB2312"/>
                <w:b/>
                <w:sz w:val="24"/>
              </w:rPr>
              <w:t>建议：</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1.拟作为延续性项目，应进一步做好项目需求分析和可行性论证、在此基础上精准做好资金测算。</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2.强化项目绩效目标制定的合理性、科学性、全面性、可考性、可衡量性。项目属于连续监测项目，应根据每年监测和分析的重点内容，科学而合理地制定项目的考核指标，增强绩效目标的可衡量性。</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3.加强项目执行过程中制度的有效性，加强项目过程管理的科学性、严谨性和规范性针对项目制定有效的实施方案。包括监测系统的优化、数据的填报、培训、考察、示范以及数据的挖掘；其次强化制度执行的有效性。</w:t>
            </w:r>
          </w:p>
          <w:p>
            <w:pPr>
              <w:widowControl/>
              <w:spacing w:line="500" w:lineRule="exact"/>
              <w:ind w:firstLine="480" w:firstLineChars="200"/>
              <w:jc w:val="left"/>
              <w:rPr>
                <w:rFonts w:hint="eastAsia" w:asciiTheme="minorEastAsia" w:hAnsiTheme="minorEastAsia" w:eastAsiaTheme="minorEastAsia" w:cstheme="minorEastAsia"/>
                <w:kern w:val="0"/>
                <w:sz w:val="24"/>
                <w:szCs w:val="22"/>
              </w:rPr>
            </w:pPr>
            <w:r>
              <w:rPr>
                <w:rFonts w:hint="eastAsia" w:asciiTheme="minorEastAsia" w:hAnsiTheme="minorEastAsia" w:eastAsiaTheme="minorEastAsia" w:cstheme="minorEastAsia"/>
                <w:kern w:val="0"/>
                <w:sz w:val="24"/>
                <w:szCs w:val="22"/>
              </w:rPr>
              <w:t>4.做好项目成果利用和成果的挖掘、凝练和积累呈现，合理制定项目用户满意度指标。根据项目的用户分不同层次、不同维度的用户满意度指标，切实发挥用户满意度指标对项目的指导和反馈作用。</w:t>
            </w:r>
          </w:p>
          <w:p>
            <w:pPr>
              <w:spacing w:before="156" w:beforeLines="50" w:line="40" w:lineRule="exact"/>
              <w:ind w:right="2050" w:rightChars="976"/>
              <w:jc w:val="center"/>
              <w:rPr>
                <w:rFonts w:hint="eastAsia" w:ascii="仿宋_GB2312" w:hAnsi="仿宋_GB2312" w:eastAsia="仿宋_GB2312" w:cs="仿宋_GB2312"/>
                <w:sz w:val="24"/>
              </w:rPr>
            </w:pPr>
            <w:r>
              <w:rPr>
                <w:rFonts w:hint="eastAsia" w:asciiTheme="minorEastAsia" w:hAnsiTheme="minorEastAsia" w:eastAsiaTheme="minorEastAsia" w:cstheme="minorEastAsia"/>
                <w:sz w:val="24"/>
              </w:rPr>
              <w:drawing>
                <wp:anchor distT="0" distB="0" distL="114300" distR="114300" simplePos="0" relativeHeight="251662336" behindDoc="0" locked="0" layoutInCell="1" allowOverlap="1">
                  <wp:simplePos x="0" y="0"/>
                  <wp:positionH relativeFrom="column">
                    <wp:posOffset>3174365</wp:posOffset>
                  </wp:positionH>
                  <wp:positionV relativeFrom="paragraph">
                    <wp:posOffset>46355</wp:posOffset>
                  </wp:positionV>
                  <wp:extent cx="1147445" cy="358775"/>
                  <wp:effectExtent l="0" t="0" r="8255" b="9525"/>
                  <wp:wrapSquare wrapText="bothSides"/>
                  <wp:docPr id="3" name="图片 3" descr="6835338641eb65ffbd33723494b226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6835338641eb65ffbd33723494b2262"/>
                          <pic:cNvPicPr>
                            <a:picLocks noChangeAspect="true"/>
                          </pic:cNvPicPr>
                        </pic:nvPicPr>
                        <pic:blipFill>
                          <a:blip r:embed="rId8"/>
                          <a:stretch>
                            <a:fillRect/>
                          </a:stretch>
                        </pic:blipFill>
                        <pic:spPr>
                          <a:xfrm>
                            <a:off x="0" y="0"/>
                            <a:ext cx="1147445" cy="358775"/>
                          </a:xfrm>
                          <a:prstGeom prst="rect">
                            <a:avLst/>
                          </a:prstGeom>
                        </pic:spPr>
                      </pic:pic>
                    </a:graphicData>
                  </a:graphic>
                </wp:anchor>
              </w:drawing>
            </w:r>
          </w:p>
          <w:p>
            <w:pPr>
              <w:spacing w:before="156" w:beforeLines="50"/>
              <w:ind w:right="2050" w:rightChars="976"/>
              <w:jc w:val="center"/>
              <w:rPr>
                <w:rFonts w:hint="eastAsia" w:asciiTheme="minorEastAsia" w:hAnsiTheme="minorEastAsia" w:eastAsiaTheme="minorEastAsia" w:cstheme="minorEastAsia"/>
                <w:sz w:val="24"/>
              </w:rPr>
            </w:pPr>
            <w:r>
              <w:rPr>
                <w:rFonts w:hint="eastAsia" w:ascii="仿宋_GB2312" w:hAnsi="仿宋_GB2312" w:eastAsia="仿宋_GB2312" w:cs="仿宋_GB2312"/>
                <w:sz w:val="24"/>
              </w:rPr>
              <w:t xml:space="preserve">                             </w:t>
            </w:r>
            <w:r>
              <w:rPr>
                <w:rFonts w:hint="eastAsia" w:asciiTheme="minorEastAsia" w:hAnsiTheme="minorEastAsia" w:eastAsiaTheme="minorEastAsia" w:cstheme="minorEastAsia"/>
                <w:sz w:val="24"/>
              </w:rPr>
              <w:t>专家组组长：</w:t>
            </w:r>
          </w:p>
          <w:p>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2025年 5 月 11 日</w:t>
            </w:r>
          </w:p>
          <w:p>
            <w:pPr>
              <w:rPr>
                <w:rFonts w:hint="eastAsia" w:ascii="宋体" w:hAnsi="宋体"/>
                <w:sz w:val="24"/>
              </w:rPr>
            </w:pPr>
          </w:p>
        </w:tc>
      </w:tr>
    </w:tbl>
    <w:p>
      <w:r>
        <w:br w:type="page"/>
      </w:r>
    </w:p>
    <w:tbl>
      <w:tblPr>
        <w:tblStyle w:val="15"/>
        <w:tblW w:w="8840" w:type="dxa"/>
        <w:tblInd w:w="98" w:type="dxa"/>
        <w:tblLayout w:type="fixed"/>
        <w:tblCellMar>
          <w:top w:w="0" w:type="dxa"/>
          <w:left w:w="108" w:type="dxa"/>
          <w:bottom w:w="0" w:type="dxa"/>
          <w:right w:w="108" w:type="dxa"/>
        </w:tblCellMar>
      </w:tblPr>
      <w:tblGrid>
        <w:gridCol w:w="1172"/>
        <w:gridCol w:w="1415"/>
        <w:gridCol w:w="2048"/>
        <w:gridCol w:w="747"/>
        <w:gridCol w:w="931"/>
        <w:gridCol w:w="2527"/>
      </w:tblGrid>
      <w:tr>
        <w:tblPrEx>
          <w:tblCellMar>
            <w:top w:w="0" w:type="dxa"/>
            <w:left w:w="108" w:type="dxa"/>
            <w:bottom w:w="0" w:type="dxa"/>
            <w:right w:w="108" w:type="dxa"/>
          </w:tblCellMar>
        </w:tblPrEx>
        <w:trPr>
          <w:trHeight w:val="1090" w:hRule="atLeast"/>
        </w:trPr>
        <w:tc>
          <w:tcPr>
            <w:tcW w:w="8840" w:type="dxa"/>
            <w:gridSpan w:val="6"/>
            <w:tcBorders>
              <w:top w:val="nil"/>
              <w:left w:val="nil"/>
              <w:bottom w:val="single" w:color="000000" w:sz="4" w:space="0"/>
              <w:right w:val="nil"/>
            </w:tcBorders>
            <w:shd w:val="clear" w:color="auto" w:fill="auto"/>
            <w:vAlign w:val="center"/>
          </w:tcPr>
          <w:p>
            <w:pPr>
              <w:pStyle w:val="14"/>
              <w:ind w:firstLine="640"/>
              <w:rPr>
                <w:rFonts w:hint="eastAsia" w:ascii="黑体" w:hAnsi="黑体" w:eastAsia="黑体" w:cs="黑体"/>
                <w:lang w:bidi="ar"/>
              </w:rPr>
            </w:pPr>
            <w:r>
              <w:rPr>
                <w:rFonts w:hint="eastAsia" w:ascii="黑体" w:hAnsi="黑体" w:eastAsia="黑体" w:cs="黑体"/>
                <w:lang w:bidi="ar"/>
              </w:rPr>
              <w:t>附件4</w:t>
            </w:r>
          </w:p>
          <w:p>
            <w:pPr>
              <w:widowControl/>
              <w:jc w:val="center"/>
              <w:textAlignment w:val="center"/>
              <w:rPr>
                <w:rFonts w:hint="eastAsia" w:ascii="宋体" w:hAnsi="宋体" w:cs="宋体"/>
                <w:color w:val="000000"/>
                <w:sz w:val="36"/>
                <w:szCs w:val="36"/>
              </w:rPr>
            </w:pPr>
            <w:r>
              <w:rPr>
                <w:rFonts w:hint="eastAsia" w:ascii="宋体" w:hAnsi="宋体" w:cs="宋体"/>
                <w:color w:val="000000"/>
                <w:kern w:val="0"/>
                <w:sz w:val="36"/>
                <w:szCs w:val="36"/>
                <w:lang w:bidi="ar"/>
              </w:rPr>
              <w:t>项目支出指标体系及评分情况</w:t>
            </w:r>
          </w:p>
        </w:tc>
      </w:tr>
      <w:tr>
        <w:tblPrEx>
          <w:tblCellMar>
            <w:top w:w="0" w:type="dxa"/>
            <w:left w:w="108" w:type="dxa"/>
            <w:bottom w:w="0" w:type="dxa"/>
            <w:right w:w="108" w:type="dxa"/>
          </w:tblCellMar>
        </w:tblPrEx>
        <w:trPr>
          <w:trHeight w:val="493" w:hRule="atLeast"/>
        </w:trPr>
        <w:tc>
          <w:tcPr>
            <w:tcW w:w="11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一级指标</w:t>
            </w:r>
          </w:p>
        </w:tc>
        <w:tc>
          <w:tcPr>
            <w:tcW w:w="1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二级指标</w:t>
            </w:r>
          </w:p>
        </w:tc>
        <w:tc>
          <w:tcPr>
            <w:tcW w:w="20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三级指标</w:t>
            </w:r>
          </w:p>
        </w:tc>
        <w:tc>
          <w:tcPr>
            <w:tcW w:w="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分值</w:t>
            </w:r>
          </w:p>
        </w:tc>
        <w:tc>
          <w:tcPr>
            <w:tcW w:w="9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得分</w:t>
            </w:r>
          </w:p>
        </w:tc>
        <w:tc>
          <w:tcPr>
            <w:tcW w:w="25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扣分理由</w:t>
            </w:r>
          </w:p>
        </w:tc>
      </w:tr>
      <w:tr>
        <w:tblPrEx>
          <w:tblCellMar>
            <w:top w:w="0" w:type="dxa"/>
            <w:left w:w="108" w:type="dxa"/>
            <w:bottom w:w="0" w:type="dxa"/>
            <w:right w:w="108" w:type="dxa"/>
          </w:tblCellMar>
        </w:tblPrEx>
        <w:trPr>
          <w:trHeight w:val="406" w:hRule="atLeast"/>
        </w:trPr>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决策</w:t>
            </w:r>
          </w:p>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（10分）</w:t>
            </w:r>
          </w:p>
        </w:tc>
        <w:tc>
          <w:tcPr>
            <w:tcW w:w="1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项目立项</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立项依据充分性</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2.00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cs="宋体"/>
                <w:color w:val="000000"/>
                <w:sz w:val="22"/>
                <w:szCs w:val="22"/>
              </w:rPr>
            </w:pPr>
          </w:p>
        </w:tc>
      </w:tr>
      <w:tr>
        <w:tblPrEx>
          <w:tblCellMar>
            <w:top w:w="0" w:type="dxa"/>
            <w:left w:w="108" w:type="dxa"/>
            <w:bottom w:w="0" w:type="dxa"/>
            <w:right w:w="108" w:type="dxa"/>
          </w:tblCellMar>
        </w:tblPrEx>
        <w:trPr>
          <w:trHeight w:val="406"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立项程序规范性</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1.77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cs="宋体"/>
                <w:color w:val="000000"/>
                <w:sz w:val="22"/>
                <w:szCs w:val="22"/>
              </w:rPr>
            </w:pPr>
            <w:r>
              <w:rPr>
                <w:rFonts w:hint="eastAsia" w:ascii="宋体" w:hAnsi="宋体" w:cs="宋体"/>
                <w:color w:val="000000"/>
                <w:sz w:val="22"/>
                <w:szCs w:val="22"/>
              </w:rPr>
              <w:t>可行性报告合理性不足</w:t>
            </w:r>
          </w:p>
        </w:tc>
      </w:tr>
      <w:tr>
        <w:tblPrEx>
          <w:tblCellMar>
            <w:top w:w="0" w:type="dxa"/>
            <w:left w:w="108" w:type="dxa"/>
            <w:bottom w:w="0" w:type="dxa"/>
            <w:right w:w="108" w:type="dxa"/>
          </w:tblCellMar>
        </w:tblPrEx>
        <w:trPr>
          <w:trHeight w:val="430"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绩效目标</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绩效目标合理性</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w:t>
            </w:r>
          </w:p>
        </w:tc>
        <w:tc>
          <w:tcPr>
            <w:tcW w:w="9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1.83 </w:t>
            </w:r>
          </w:p>
        </w:tc>
        <w:tc>
          <w:tcPr>
            <w:tcW w:w="2527"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绩效目标与投资金额匹配度不高、绩效指标细化量化不足</w:t>
            </w:r>
          </w:p>
        </w:tc>
      </w:tr>
      <w:tr>
        <w:tblPrEx>
          <w:tblCellMar>
            <w:top w:w="0" w:type="dxa"/>
            <w:left w:w="108" w:type="dxa"/>
            <w:bottom w:w="0" w:type="dxa"/>
            <w:right w:w="108" w:type="dxa"/>
          </w:tblCellMar>
        </w:tblPrEx>
        <w:trPr>
          <w:trHeight w:val="430"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绩效指标明确性</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9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0.60 </w:t>
            </w:r>
          </w:p>
        </w:tc>
        <w:tc>
          <w:tcPr>
            <w:tcW w:w="2527" w:type="dxa"/>
            <w:vMerge w:val="continue"/>
            <w:tcBorders>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p>
        </w:tc>
      </w:tr>
      <w:tr>
        <w:tblPrEx>
          <w:tblCellMar>
            <w:top w:w="0" w:type="dxa"/>
            <w:left w:w="108" w:type="dxa"/>
            <w:bottom w:w="0" w:type="dxa"/>
            <w:right w:w="108" w:type="dxa"/>
          </w:tblCellMar>
        </w:tblPrEx>
        <w:trPr>
          <w:trHeight w:val="406"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资金投入</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预算编制科学性</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w:t>
            </w:r>
          </w:p>
        </w:tc>
        <w:tc>
          <w:tcPr>
            <w:tcW w:w="9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2.00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cs="宋体"/>
                <w:color w:val="000000"/>
                <w:sz w:val="22"/>
                <w:szCs w:val="22"/>
              </w:rPr>
            </w:pPr>
          </w:p>
        </w:tc>
      </w:tr>
      <w:tr>
        <w:tblPrEx>
          <w:tblCellMar>
            <w:top w:w="0" w:type="dxa"/>
            <w:left w:w="108" w:type="dxa"/>
            <w:bottom w:w="0" w:type="dxa"/>
            <w:right w:w="108" w:type="dxa"/>
          </w:tblCellMar>
        </w:tblPrEx>
        <w:trPr>
          <w:trHeight w:val="430"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资金分配合理性</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9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1.00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p>
        </w:tc>
      </w:tr>
      <w:tr>
        <w:tblPrEx>
          <w:tblCellMar>
            <w:top w:w="0" w:type="dxa"/>
            <w:left w:w="108" w:type="dxa"/>
            <w:bottom w:w="0" w:type="dxa"/>
            <w:right w:w="108" w:type="dxa"/>
          </w:tblCellMar>
        </w:tblPrEx>
        <w:trPr>
          <w:trHeight w:val="406" w:hRule="atLeast"/>
        </w:trPr>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过程</w:t>
            </w:r>
          </w:p>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（20分）</w:t>
            </w:r>
          </w:p>
        </w:tc>
        <w:tc>
          <w:tcPr>
            <w:tcW w:w="1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资金管理</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资金到位率</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w:t>
            </w:r>
          </w:p>
        </w:tc>
        <w:tc>
          <w:tcPr>
            <w:tcW w:w="9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2.00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cs="宋体"/>
                <w:color w:val="000000"/>
                <w:sz w:val="22"/>
                <w:szCs w:val="22"/>
              </w:rPr>
            </w:pPr>
          </w:p>
        </w:tc>
      </w:tr>
      <w:tr>
        <w:tblPrEx>
          <w:tblCellMar>
            <w:top w:w="0" w:type="dxa"/>
            <w:left w:w="108" w:type="dxa"/>
            <w:bottom w:w="0" w:type="dxa"/>
            <w:right w:w="108" w:type="dxa"/>
          </w:tblCellMar>
        </w:tblPrEx>
        <w:trPr>
          <w:trHeight w:val="406"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预算执行率</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5.00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cs="宋体"/>
                <w:color w:val="000000"/>
                <w:sz w:val="22"/>
                <w:szCs w:val="22"/>
              </w:rPr>
            </w:pPr>
          </w:p>
        </w:tc>
      </w:tr>
      <w:tr>
        <w:tblPrEx>
          <w:tblCellMar>
            <w:top w:w="0" w:type="dxa"/>
            <w:left w:w="108" w:type="dxa"/>
            <w:bottom w:w="0" w:type="dxa"/>
            <w:right w:w="108" w:type="dxa"/>
          </w:tblCellMar>
        </w:tblPrEx>
        <w:trPr>
          <w:trHeight w:val="538"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资金使用合规性</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w:t>
            </w:r>
          </w:p>
        </w:tc>
        <w:tc>
          <w:tcPr>
            <w:tcW w:w="9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2.50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部分资金使用存在不合理性</w:t>
            </w:r>
          </w:p>
        </w:tc>
      </w:tr>
      <w:tr>
        <w:tblPrEx>
          <w:tblCellMar>
            <w:top w:w="0" w:type="dxa"/>
            <w:left w:w="108" w:type="dxa"/>
            <w:bottom w:w="0" w:type="dxa"/>
            <w:right w:w="108" w:type="dxa"/>
          </w:tblCellMar>
        </w:tblPrEx>
        <w:trPr>
          <w:trHeight w:val="830"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组织实施</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管理制度健全性</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5.00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p>
        </w:tc>
      </w:tr>
      <w:tr>
        <w:tblPrEx>
          <w:tblCellMar>
            <w:top w:w="0" w:type="dxa"/>
            <w:left w:w="108" w:type="dxa"/>
            <w:bottom w:w="0" w:type="dxa"/>
            <w:right w:w="108" w:type="dxa"/>
          </w:tblCellMar>
        </w:tblPrEx>
        <w:trPr>
          <w:trHeight w:val="422"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制度执行有效性</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3.67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未按照管理办法执行验收、</w:t>
            </w:r>
            <w:r>
              <w:rPr>
                <w:rFonts w:hint="eastAsia" w:ascii="宋体" w:hAnsi="宋体" w:cs="宋体"/>
                <w:color w:val="000000"/>
                <w:sz w:val="22"/>
                <w:szCs w:val="22"/>
              </w:rPr>
              <w:t>项目实施方案不完善</w:t>
            </w:r>
          </w:p>
        </w:tc>
      </w:tr>
      <w:tr>
        <w:tblPrEx>
          <w:tblCellMar>
            <w:top w:w="0" w:type="dxa"/>
            <w:left w:w="108" w:type="dxa"/>
            <w:bottom w:w="0" w:type="dxa"/>
            <w:right w:w="108" w:type="dxa"/>
          </w:tblCellMar>
        </w:tblPrEx>
        <w:trPr>
          <w:trHeight w:val="511" w:hRule="atLeast"/>
        </w:trPr>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产出</w:t>
            </w:r>
          </w:p>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（40分）</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产出数量</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实际完成率</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9.33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支撑材料不足</w:t>
            </w:r>
          </w:p>
        </w:tc>
      </w:tr>
      <w:tr>
        <w:tblPrEx>
          <w:tblCellMar>
            <w:top w:w="0" w:type="dxa"/>
            <w:left w:w="108" w:type="dxa"/>
            <w:bottom w:w="0" w:type="dxa"/>
            <w:right w:w="108" w:type="dxa"/>
          </w:tblCellMar>
        </w:tblPrEx>
        <w:trPr>
          <w:trHeight w:val="406"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产出质量</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质量达标率</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8.33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质量指标无法核定</w:t>
            </w:r>
          </w:p>
        </w:tc>
      </w:tr>
      <w:tr>
        <w:tblPrEx>
          <w:tblCellMar>
            <w:top w:w="0" w:type="dxa"/>
            <w:left w:w="108" w:type="dxa"/>
            <w:bottom w:w="0" w:type="dxa"/>
            <w:right w:w="108" w:type="dxa"/>
          </w:tblCellMar>
        </w:tblPrEx>
        <w:trPr>
          <w:trHeight w:val="550"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产出时效</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完成及时性</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9.67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预算执行进度滞后</w:t>
            </w:r>
          </w:p>
        </w:tc>
      </w:tr>
      <w:tr>
        <w:tblPrEx>
          <w:tblCellMar>
            <w:top w:w="0" w:type="dxa"/>
            <w:left w:w="108" w:type="dxa"/>
            <w:bottom w:w="0" w:type="dxa"/>
            <w:right w:w="108" w:type="dxa"/>
          </w:tblCellMar>
        </w:tblPrEx>
        <w:trPr>
          <w:trHeight w:val="406"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产出成本</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成本节约率</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6.00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cs="宋体"/>
                <w:color w:val="000000"/>
                <w:sz w:val="22"/>
                <w:szCs w:val="22"/>
              </w:rPr>
            </w:pPr>
            <w:r>
              <w:rPr>
                <w:rFonts w:hint="eastAsia" w:ascii="宋体" w:hAnsi="宋体" w:cs="宋体"/>
                <w:color w:val="000000"/>
                <w:sz w:val="22"/>
                <w:szCs w:val="22"/>
              </w:rPr>
              <w:t>成本控制不显著</w:t>
            </w:r>
          </w:p>
        </w:tc>
      </w:tr>
      <w:tr>
        <w:tblPrEx>
          <w:tblCellMar>
            <w:top w:w="0" w:type="dxa"/>
            <w:left w:w="108" w:type="dxa"/>
            <w:bottom w:w="0" w:type="dxa"/>
            <w:right w:w="108" w:type="dxa"/>
          </w:tblCellMar>
        </w:tblPrEx>
        <w:trPr>
          <w:trHeight w:val="406" w:hRule="atLeast"/>
        </w:trPr>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效益</w:t>
            </w:r>
          </w:p>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（30分）</w:t>
            </w:r>
          </w:p>
        </w:tc>
        <w:tc>
          <w:tcPr>
            <w:tcW w:w="1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项目效益　</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产生的社会效益</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5.50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cs="宋体"/>
                <w:color w:val="000000"/>
                <w:sz w:val="22"/>
                <w:szCs w:val="22"/>
              </w:rPr>
            </w:pPr>
            <w:r>
              <w:rPr>
                <w:rFonts w:hint="eastAsia" w:ascii="宋体" w:hAnsi="宋体" w:cs="宋体"/>
                <w:color w:val="000000"/>
                <w:kern w:val="0"/>
                <w:sz w:val="22"/>
                <w:szCs w:val="22"/>
                <w:lang w:bidi="ar"/>
              </w:rPr>
              <w:t>支撑材料不足</w:t>
            </w:r>
          </w:p>
        </w:tc>
      </w:tr>
      <w:tr>
        <w:tblPrEx>
          <w:tblCellMar>
            <w:top w:w="0" w:type="dxa"/>
            <w:left w:w="108" w:type="dxa"/>
            <w:bottom w:w="0" w:type="dxa"/>
            <w:right w:w="108" w:type="dxa"/>
          </w:tblCellMar>
        </w:tblPrEx>
        <w:trPr>
          <w:trHeight w:val="422"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产生的经济效益</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4.00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缺乏必要的支撑材料</w:t>
            </w:r>
          </w:p>
        </w:tc>
      </w:tr>
      <w:tr>
        <w:tblPrEx>
          <w:tblCellMar>
            <w:top w:w="0" w:type="dxa"/>
            <w:left w:w="108" w:type="dxa"/>
            <w:bottom w:w="0" w:type="dxa"/>
            <w:right w:w="108" w:type="dxa"/>
          </w:tblCellMar>
        </w:tblPrEx>
        <w:trPr>
          <w:trHeight w:val="406"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产生的生态效益</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5.33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支撑材料不足</w:t>
            </w:r>
          </w:p>
        </w:tc>
      </w:tr>
      <w:tr>
        <w:tblPrEx>
          <w:tblCellMar>
            <w:top w:w="0" w:type="dxa"/>
            <w:left w:w="108" w:type="dxa"/>
            <w:bottom w:w="0" w:type="dxa"/>
            <w:right w:w="108" w:type="dxa"/>
          </w:tblCellMar>
        </w:tblPrEx>
        <w:trPr>
          <w:trHeight w:val="430"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产生的可持续影响</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5.33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支撑材料不足</w:t>
            </w:r>
          </w:p>
        </w:tc>
      </w:tr>
      <w:tr>
        <w:tblPrEx>
          <w:tblCellMar>
            <w:top w:w="0" w:type="dxa"/>
            <w:left w:w="108" w:type="dxa"/>
            <w:bottom w:w="0" w:type="dxa"/>
            <w:right w:w="108" w:type="dxa"/>
          </w:tblCellMar>
        </w:tblPrEx>
        <w:trPr>
          <w:trHeight w:val="430" w:hRule="atLeast"/>
        </w:trPr>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1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sz w:val="22"/>
                <w:szCs w:val="22"/>
              </w:rPr>
            </w:pPr>
          </w:p>
        </w:tc>
        <w:tc>
          <w:tcPr>
            <w:tcW w:w="204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4.00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满意度调查服务对象未全面覆盖</w:t>
            </w:r>
          </w:p>
        </w:tc>
      </w:tr>
      <w:tr>
        <w:tblPrEx>
          <w:tblCellMar>
            <w:top w:w="0" w:type="dxa"/>
            <w:left w:w="108" w:type="dxa"/>
            <w:bottom w:w="0" w:type="dxa"/>
            <w:right w:w="108" w:type="dxa"/>
          </w:tblCellMar>
        </w:tblPrEx>
        <w:trPr>
          <w:trHeight w:val="453" w:hRule="atLeast"/>
        </w:trPr>
        <w:tc>
          <w:tcPr>
            <w:tcW w:w="2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合计</w:t>
            </w:r>
          </w:p>
        </w:tc>
        <w:tc>
          <w:tcPr>
            <w:tcW w:w="204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cs="宋体"/>
                <w:b/>
                <w:bCs/>
                <w:color w:val="000000"/>
                <w:sz w:val="22"/>
                <w:szCs w:val="22"/>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100</w:t>
            </w: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b/>
                <w:bCs/>
                <w:color w:val="000000"/>
                <w:sz w:val="22"/>
                <w:szCs w:val="22"/>
              </w:rPr>
            </w:pPr>
            <w:r>
              <w:rPr>
                <w:rFonts w:hint="eastAsia" w:ascii="宋体" w:hAnsi="宋体" w:cs="宋体"/>
                <w:b/>
                <w:bCs/>
                <w:color w:val="000000"/>
                <w:kern w:val="0"/>
                <w:sz w:val="22"/>
                <w:szCs w:val="22"/>
                <w:lang w:bidi="ar"/>
              </w:rPr>
              <w:t xml:space="preserve">84.87 </w:t>
            </w:r>
          </w:p>
        </w:tc>
        <w:tc>
          <w:tcPr>
            <w:tcW w:w="25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cs="宋体"/>
                <w:b/>
                <w:bCs/>
                <w:color w:val="000000"/>
                <w:sz w:val="22"/>
                <w:szCs w:val="22"/>
              </w:rPr>
            </w:pPr>
          </w:p>
        </w:tc>
      </w:tr>
    </w:tbl>
    <w:p/>
    <w:p>
      <w:pPr>
        <w:spacing w:line="560" w:lineRule="exact"/>
        <w:ind w:firstLine="640" w:firstLineChars="200"/>
        <w:jc w:val="left"/>
        <w:rPr>
          <w:rFonts w:hint="eastAsia" w:ascii="黑体" w:hAnsi="黑体" w:eastAsia="黑体"/>
          <w:bCs/>
          <w:kern w:val="0"/>
          <w:sz w:val="32"/>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Leelawadee UI">
    <w:altName w:val="Noto Music"/>
    <w:panose1 w:val="020B0502040204020203"/>
    <w:charset w:val="00"/>
    <w:family w:val="swiss"/>
    <w:pitch w:val="default"/>
    <w:sig w:usb0="00000000" w:usb1="00000000" w:usb2="00000000" w:usb3="00000000" w:csb0="00000000" w:csb1="00000000"/>
  </w:font>
  <w:font w:name="楷体">
    <w:altName w:val="方正楷体_GBK"/>
    <w:panose1 w:val="02010609060101010101"/>
    <w:charset w:val="86"/>
    <w:family w:val="modern"/>
    <w:pitch w:val="default"/>
    <w:sig w:usb0="00000000" w:usb1="00000000"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Noto Music">
    <w:panose1 w:val="020B0502040504020204"/>
    <w:charset w:val="00"/>
    <w:family w:val="auto"/>
    <w:pitch w:val="default"/>
    <w:sig w:usb0="00000003" w:usb1="02006000" w:usb2="01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lear" w:pos="4153"/>
        <w:tab w:val="clear" w:pos="8306"/>
      </w:tabs>
      <w:jc w:val="center"/>
      <w:rPr>
        <w:rFonts w:hint="eastAsia" w:ascii="宋体" w:hAnsi="宋体"/>
        <w:sz w:val="21"/>
        <w:szCs w:val="21"/>
      </w:rP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12</w:t>
    </w:r>
    <w:r>
      <w:rPr>
        <w:rFonts w:ascii="宋体" w:hAnsi="宋体"/>
        <w:sz w:val="21"/>
        <w:szCs w:val="21"/>
      </w:rPr>
      <w:fldChar w:fldCharType="end"/>
    </w:r>
  </w:p>
  <w:p>
    <w:pPr>
      <w:pStyle w:val="19"/>
      <w:tabs>
        <w:tab w:val="clear" w:pos="4153"/>
        <w:tab w:val="clear"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embedTrueTypeFonts/>
  <w:saveSubsetFonts/>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4C45CA9"/>
    <w:rsid w:val="0024336B"/>
    <w:rsid w:val="005B654B"/>
    <w:rsid w:val="007964B1"/>
    <w:rsid w:val="008E6815"/>
    <w:rsid w:val="018E7169"/>
    <w:rsid w:val="01AF35D1"/>
    <w:rsid w:val="01E924B1"/>
    <w:rsid w:val="01EA0118"/>
    <w:rsid w:val="037E417D"/>
    <w:rsid w:val="03EF3854"/>
    <w:rsid w:val="04C45CA9"/>
    <w:rsid w:val="04E86B91"/>
    <w:rsid w:val="0683733C"/>
    <w:rsid w:val="072C0485"/>
    <w:rsid w:val="073A569E"/>
    <w:rsid w:val="0906236A"/>
    <w:rsid w:val="09B41187"/>
    <w:rsid w:val="09D77734"/>
    <w:rsid w:val="0F4A0448"/>
    <w:rsid w:val="0F7A2ADB"/>
    <w:rsid w:val="0F7B1AD0"/>
    <w:rsid w:val="125F6DB3"/>
    <w:rsid w:val="12BA01E0"/>
    <w:rsid w:val="14450AE8"/>
    <w:rsid w:val="14EC447B"/>
    <w:rsid w:val="17635E11"/>
    <w:rsid w:val="17D66D1D"/>
    <w:rsid w:val="192D0BBE"/>
    <w:rsid w:val="1CEB5018"/>
    <w:rsid w:val="1ED2351A"/>
    <w:rsid w:val="1F7D1081"/>
    <w:rsid w:val="21366A7E"/>
    <w:rsid w:val="21627873"/>
    <w:rsid w:val="224F6049"/>
    <w:rsid w:val="227B3319"/>
    <w:rsid w:val="24301CF1"/>
    <w:rsid w:val="24372ED1"/>
    <w:rsid w:val="247A3D65"/>
    <w:rsid w:val="24F82A34"/>
    <w:rsid w:val="256242E5"/>
    <w:rsid w:val="257B4C0D"/>
    <w:rsid w:val="25E1345C"/>
    <w:rsid w:val="27A961FC"/>
    <w:rsid w:val="289656D2"/>
    <w:rsid w:val="2923405D"/>
    <w:rsid w:val="297829E8"/>
    <w:rsid w:val="2A1F4553"/>
    <w:rsid w:val="2ABE635C"/>
    <w:rsid w:val="2B1B2698"/>
    <w:rsid w:val="2BA80578"/>
    <w:rsid w:val="2C9639D9"/>
    <w:rsid w:val="3416085D"/>
    <w:rsid w:val="344A041F"/>
    <w:rsid w:val="34B34216"/>
    <w:rsid w:val="35DC779C"/>
    <w:rsid w:val="368E4F96"/>
    <w:rsid w:val="3D7E6440"/>
    <w:rsid w:val="3E21152B"/>
    <w:rsid w:val="3EAC6BD0"/>
    <w:rsid w:val="3F3F3D77"/>
    <w:rsid w:val="4051145D"/>
    <w:rsid w:val="411245CF"/>
    <w:rsid w:val="428C60A6"/>
    <w:rsid w:val="42F51E9D"/>
    <w:rsid w:val="44C1472D"/>
    <w:rsid w:val="45FD1206"/>
    <w:rsid w:val="464E0242"/>
    <w:rsid w:val="486C1D5E"/>
    <w:rsid w:val="49755AE6"/>
    <w:rsid w:val="4A0B6DBA"/>
    <w:rsid w:val="4A9F1B02"/>
    <w:rsid w:val="4CB608EF"/>
    <w:rsid w:val="4F036189"/>
    <w:rsid w:val="4FDF2DC7"/>
    <w:rsid w:val="4FE16FE9"/>
    <w:rsid w:val="504771A6"/>
    <w:rsid w:val="51981EEB"/>
    <w:rsid w:val="52B96A43"/>
    <w:rsid w:val="55D83C57"/>
    <w:rsid w:val="56D93B58"/>
    <w:rsid w:val="57F112D5"/>
    <w:rsid w:val="585506BF"/>
    <w:rsid w:val="5AE75AB0"/>
    <w:rsid w:val="5CA5038F"/>
    <w:rsid w:val="5DFC1525"/>
    <w:rsid w:val="5F156059"/>
    <w:rsid w:val="5F8E3012"/>
    <w:rsid w:val="5F9A2863"/>
    <w:rsid w:val="606319DF"/>
    <w:rsid w:val="607D2CA9"/>
    <w:rsid w:val="6269194F"/>
    <w:rsid w:val="65AE3B49"/>
    <w:rsid w:val="65E25E59"/>
    <w:rsid w:val="69492B53"/>
    <w:rsid w:val="6BDC5322"/>
    <w:rsid w:val="6D0730F9"/>
    <w:rsid w:val="6D861395"/>
    <w:rsid w:val="6DA13E71"/>
    <w:rsid w:val="6F150CFF"/>
    <w:rsid w:val="6FBF3167"/>
    <w:rsid w:val="710D6480"/>
    <w:rsid w:val="71496F6A"/>
    <w:rsid w:val="73EC339D"/>
    <w:rsid w:val="76E94FCC"/>
    <w:rsid w:val="77784870"/>
    <w:rsid w:val="78174088"/>
    <w:rsid w:val="78182AAB"/>
    <w:rsid w:val="786A251A"/>
    <w:rsid w:val="7BDC7127"/>
    <w:rsid w:val="7C287019"/>
    <w:rsid w:val="7CD6006E"/>
    <w:rsid w:val="7E994343"/>
    <w:rsid w:val="7EFFA63D"/>
    <w:rsid w:val="7FA75CF2"/>
    <w:rsid w:val="7FCA24B7"/>
    <w:rsid w:val="7FFB5643"/>
    <w:rsid w:val="DEBFE78E"/>
    <w:rsid w:val="FFDEC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1"/>
    </w:rPr>
  </w:style>
  <w:style w:type="paragraph" w:styleId="3">
    <w:name w:val="annotation text"/>
    <w:basedOn w:val="1"/>
    <w:qFormat/>
    <w:uiPriority w:val="0"/>
    <w:pPr>
      <w:jc w:val="left"/>
    </w:pPr>
  </w:style>
  <w:style w:type="paragraph" w:styleId="4">
    <w:name w:val="Body Text"/>
    <w:basedOn w:val="1"/>
    <w:qFormat/>
    <w:uiPriority w:val="0"/>
    <w:pPr>
      <w:spacing w:before="48"/>
      <w:ind w:left="111"/>
    </w:pPr>
    <w:rPr>
      <w:rFonts w:ascii="仿宋" w:hAnsi="仿宋" w:eastAsia="仿宋"/>
      <w:sz w:val="32"/>
      <w:szCs w:val="32"/>
    </w:rPr>
  </w:style>
  <w:style w:type="paragraph" w:styleId="5">
    <w:name w:val="Body Text Indent"/>
    <w:basedOn w:val="1"/>
    <w:qFormat/>
    <w:uiPriority w:val="0"/>
    <w:pPr>
      <w:spacing w:after="360"/>
      <w:ind w:firstLine="840"/>
    </w:pPr>
    <w:rPr>
      <w:rFonts w:eastAsia="仿宋_GB2312"/>
      <w:kern w:val="1"/>
      <w:sz w:val="32"/>
      <w:szCs w:val="20"/>
    </w:rPr>
  </w:style>
  <w:style w:type="paragraph" w:styleId="6">
    <w:name w:val="Block Text"/>
    <w:basedOn w:val="1"/>
    <w:qFormat/>
    <w:uiPriority w:val="0"/>
    <w:pPr>
      <w:spacing w:after="120"/>
      <w:ind w:left="1440" w:leftChars="700" w:right="1440" w:rightChars="700"/>
    </w:pPr>
  </w:style>
  <w:style w:type="paragraph" w:styleId="7">
    <w:name w:val="Body Text Indent 2"/>
    <w:basedOn w:val="1"/>
    <w:qFormat/>
    <w:uiPriority w:val="0"/>
    <w:pPr>
      <w:spacing w:after="120" w:line="480" w:lineRule="auto"/>
      <w:ind w:left="420" w:leftChars="200"/>
    </w:pPr>
    <w:rPr>
      <w:szCs w:val="21"/>
    </w:rPr>
  </w:style>
  <w:style w:type="paragraph" w:styleId="8">
    <w:name w:val="footer"/>
    <w:basedOn w:val="1"/>
    <w:link w:val="30"/>
    <w:qFormat/>
    <w:uiPriority w:val="0"/>
    <w:pPr>
      <w:tabs>
        <w:tab w:val="center" w:pos="4153"/>
        <w:tab w:val="right" w:pos="8306"/>
      </w:tabs>
      <w:snapToGrid w:val="0"/>
      <w:jc w:val="left"/>
    </w:pPr>
    <w:rPr>
      <w:sz w:val="18"/>
      <w:szCs w:val="18"/>
    </w:rPr>
  </w:style>
  <w:style w:type="paragraph" w:styleId="9">
    <w:name w:val="header"/>
    <w:basedOn w:val="1"/>
    <w:link w:val="29"/>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footnote text"/>
    <w:basedOn w:val="1"/>
    <w:qFormat/>
    <w:uiPriority w:val="0"/>
    <w:pPr>
      <w:snapToGrid w:val="0"/>
      <w:jc w:val="left"/>
    </w:pPr>
    <w:rPr>
      <w:sz w:val="18"/>
    </w:rPr>
  </w:style>
  <w:style w:type="paragraph" w:styleId="12">
    <w:name w:val="toc 2"/>
    <w:basedOn w:val="1"/>
    <w:next w:val="1"/>
    <w:qFormat/>
    <w:uiPriority w:val="0"/>
    <w:pPr>
      <w:ind w:left="420" w:leftChars="200"/>
    </w:pPr>
  </w:style>
  <w:style w:type="paragraph" w:styleId="13">
    <w:name w:val="Body Text First Indent"/>
    <w:basedOn w:val="4"/>
    <w:qFormat/>
    <w:uiPriority w:val="0"/>
    <w:pPr>
      <w:ind w:firstLine="420" w:firstLineChars="100"/>
    </w:pPr>
  </w:style>
  <w:style w:type="paragraph" w:styleId="14">
    <w:name w:val="Body Text First Indent 2"/>
    <w:basedOn w:val="5"/>
    <w:qFormat/>
    <w:uiPriority w:val="0"/>
    <w:pPr>
      <w:ind w:firstLine="420" w:firstLineChars="200"/>
    </w:pPr>
  </w:style>
  <w:style w:type="character" w:styleId="17">
    <w:name w:val="footnote reference"/>
    <w:qFormat/>
    <w:uiPriority w:val="0"/>
    <w:rPr>
      <w:vertAlign w:val="superscript"/>
    </w:rPr>
  </w:style>
  <w:style w:type="paragraph" w:customStyle="1" w:styleId="18">
    <w:name w:val="List Paragraph"/>
    <w:basedOn w:val="1"/>
    <w:qFormat/>
    <w:uiPriority w:val="34"/>
    <w:pPr>
      <w:ind w:firstLine="420" w:firstLineChars="200"/>
    </w:pPr>
    <w:rPr>
      <w:rFonts w:ascii="Calibri" w:hAnsi="Calibri"/>
      <w:szCs w:val="22"/>
    </w:rPr>
  </w:style>
  <w:style w:type="paragraph" w:customStyle="1" w:styleId="19">
    <w:name w:val="页脚1"/>
    <w:basedOn w:val="1"/>
    <w:qFormat/>
    <w:uiPriority w:val="0"/>
    <w:pPr>
      <w:tabs>
        <w:tab w:val="center" w:pos="4153"/>
        <w:tab w:val="right" w:pos="8306"/>
      </w:tabs>
      <w:snapToGrid w:val="0"/>
      <w:jc w:val="left"/>
    </w:pPr>
    <w:rPr>
      <w:sz w:val="18"/>
      <w:szCs w:val="18"/>
    </w:rPr>
  </w:style>
  <w:style w:type="character" w:customStyle="1" w:styleId="20">
    <w:name w:val="font21"/>
    <w:basedOn w:val="16"/>
    <w:qFormat/>
    <w:uiPriority w:val="0"/>
    <w:rPr>
      <w:rFonts w:hint="eastAsia" w:ascii="宋体" w:hAnsi="宋体" w:eastAsia="宋体" w:cs="宋体"/>
      <w:color w:val="000000"/>
      <w:sz w:val="22"/>
      <w:szCs w:val="22"/>
      <w:u w:val="none"/>
    </w:rPr>
  </w:style>
  <w:style w:type="character" w:customStyle="1" w:styleId="21">
    <w:name w:val="font61"/>
    <w:basedOn w:val="16"/>
    <w:qFormat/>
    <w:uiPriority w:val="0"/>
    <w:rPr>
      <w:rFonts w:hint="eastAsia" w:ascii="宋体" w:hAnsi="宋体" w:eastAsia="宋体" w:cs="宋体"/>
      <w:color w:val="000000"/>
      <w:sz w:val="22"/>
      <w:szCs w:val="22"/>
      <w:u w:val="none"/>
    </w:rPr>
  </w:style>
  <w:style w:type="character" w:customStyle="1" w:styleId="22">
    <w:name w:val="font71"/>
    <w:basedOn w:val="16"/>
    <w:qFormat/>
    <w:uiPriority w:val="0"/>
    <w:rPr>
      <w:rFonts w:hint="eastAsia" w:ascii="宋体" w:hAnsi="宋体" w:eastAsia="宋体" w:cs="宋体"/>
      <w:color w:val="FF0000"/>
      <w:sz w:val="22"/>
      <w:szCs w:val="22"/>
      <w:u w:val="none"/>
    </w:rPr>
  </w:style>
  <w:style w:type="paragraph" w:customStyle="1" w:styleId="23">
    <w:name w:val="文本块1"/>
    <w:basedOn w:val="1"/>
    <w:qFormat/>
    <w:uiPriority w:val="0"/>
    <w:pPr>
      <w:spacing w:after="120"/>
      <w:ind w:left="1440" w:leftChars="700" w:right="1440" w:rightChars="700"/>
    </w:pPr>
  </w:style>
  <w:style w:type="paragraph" w:customStyle="1" w:styleId="24">
    <w:name w:val="目录 11"/>
    <w:basedOn w:val="1"/>
    <w:qFormat/>
    <w:uiPriority w:val="0"/>
  </w:style>
  <w:style w:type="character" w:customStyle="1" w:styleId="25">
    <w:name w:val="超链接1"/>
    <w:qFormat/>
    <w:uiPriority w:val="0"/>
    <w:rPr>
      <w:rFonts w:ascii="Times New Roman" w:hAnsi="Times New Roman" w:eastAsia="宋体" w:cs="Times New Roman"/>
      <w:kern w:val="2"/>
      <w:sz w:val="21"/>
      <w:szCs w:val="24"/>
      <w:lang w:val="en-US" w:eastAsia="zh-CN" w:bidi="ar-SA"/>
    </w:rPr>
  </w:style>
  <w:style w:type="paragraph" w:customStyle="1" w:styleId="26">
    <w:name w:val="目录 21"/>
    <w:basedOn w:val="1"/>
    <w:qFormat/>
    <w:uiPriority w:val="0"/>
    <w:pPr>
      <w:ind w:left="420" w:leftChars="200"/>
    </w:pPr>
  </w:style>
  <w:style w:type="paragraph" w:customStyle="1" w:styleId="27">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28">
    <w:name w:val="正文1"/>
    <w:basedOn w:val="1"/>
    <w:next w:val="1"/>
    <w:qFormat/>
    <w:uiPriority w:val="0"/>
    <w:pPr>
      <w:suppressAutoHyphens/>
      <w:spacing w:line="576" w:lineRule="exact"/>
      <w:ind w:firstLine="640" w:firstLineChars="200"/>
    </w:pPr>
    <w:rPr>
      <w:rFonts w:ascii="仿宋" w:hAnsi="仿宋" w:eastAsia="仿宋_GB2312" w:cs="Calibri"/>
      <w:sz w:val="32"/>
      <w:szCs w:val="32"/>
    </w:rPr>
  </w:style>
  <w:style w:type="character" w:customStyle="1" w:styleId="29">
    <w:name w:val="页眉 字符"/>
    <w:basedOn w:val="16"/>
    <w:link w:val="9"/>
    <w:qFormat/>
    <w:uiPriority w:val="0"/>
    <w:rPr>
      <w:rFonts w:ascii="Times New Roman" w:hAnsi="Times New Roman" w:eastAsia="宋体" w:cs="Times New Roman"/>
      <w:sz w:val="18"/>
      <w:szCs w:val="18"/>
    </w:rPr>
  </w:style>
  <w:style w:type="character" w:customStyle="1" w:styleId="30">
    <w:name w:val="页脚 字符"/>
    <w:basedOn w:val="16"/>
    <w:link w:val="8"/>
    <w:qFormat/>
    <w:uiPriority w:val="0"/>
    <w:rPr>
      <w:rFonts w:ascii="Times New Roman" w:hAnsi="Times New Roman" w:eastAsia="宋体" w:cs="Times New Roman"/>
      <w:sz w:val="18"/>
      <w:szCs w:val="18"/>
    </w:rPr>
  </w:style>
  <w:style w:type="character" w:customStyle="1" w:styleId="31">
    <w:name w:val="font11"/>
    <w:basedOn w:val="16"/>
    <w:qFormat/>
    <w:uiPriority w:val="0"/>
    <w:rPr>
      <w:rFonts w:hint="eastAsia" w:ascii="宋体" w:hAnsi="宋体" w:eastAsia="宋体" w:cs="宋体"/>
      <w:color w:val="000000"/>
      <w:sz w:val="22"/>
      <w:szCs w:val="22"/>
      <w:u w:val="none"/>
    </w:rPr>
  </w:style>
  <w:style w:type="paragraph" w:customStyle="1" w:styleId="3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6445</Words>
  <Characters>6922</Characters>
  <Lines>612</Lines>
  <Paragraphs>682</Paragraphs>
  <TotalTime>20</TotalTime>
  <ScaleCrop>false</ScaleCrop>
  <LinksUpToDate>false</LinksUpToDate>
  <CharactersWithSpaces>7098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2022-04-02T03:55:00Z</dcterms:created>
  <dc:creator>肆月</dc:creator>
  <cp:lastModifiedBy>nyncj</cp:lastModifiedBy>
  <dcterms:modified xsi:type="dcterms:W3CDTF">2025-08-22T15:51:11Z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274A06EC930140EB923FFD96724E59D8_13</vt:lpwstr>
  </property>
  <property fmtid="{D5CDD505-2E9C-101B-9397-08002B2CF9AE}" pid="4" name="KSOTemplateDocerSaveRecord">
    <vt:lpwstr>eyJoZGlkIjoiNGQxODI4NWI1OTI2OThjYmJkODJlNjExY2QyZDJmMjYiLCJ1c2VySWQiOiI5MTc0ODk1MTUifQ==</vt:lpwstr>
  </property>
</Properties>
</file>