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bCs/>
          <w:sz w:val="52"/>
          <w:szCs w:val="52"/>
        </w:rPr>
      </w:pPr>
    </w:p>
    <w:p>
      <w:pPr>
        <w:pStyle w:val="2"/>
        <w:rPr>
          <w:b/>
          <w:bCs/>
          <w:sz w:val="52"/>
          <w:szCs w:val="52"/>
        </w:rPr>
      </w:pPr>
    </w:p>
    <w:p>
      <w:pPr>
        <w:pStyle w:val="3"/>
        <w:rPr>
          <w:b/>
          <w:bCs/>
          <w:sz w:val="52"/>
          <w:szCs w:val="52"/>
        </w:rPr>
      </w:pPr>
    </w:p>
    <w:p>
      <w:pPr>
        <w:rPr>
          <w:rFonts w:hint="eastAsia" w:eastAsia="宋体"/>
          <w:lang w:val="en-US" w:eastAsia="zh-CN"/>
        </w:rPr>
      </w:pPr>
      <w:r>
        <w:rPr>
          <w:rFonts w:hint="eastAsia"/>
          <w:lang w:val="en-US" w:eastAsia="zh-CN"/>
        </w:rPr>
        <w:t xml:space="preserve"> </w:t>
      </w:r>
    </w:p>
    <w:p>
      <w:pPr>
        <w:jc w:val="center"/>
        <w:rPr>
          <w:b/>
          <w:bCs/>
          <w:sz w:val="52"/>
          <w:szCs w:val="52"/>
        </w:rPr>
      </w:pPr>
    </w:p>
    <w:p>
      <w:pPr>
        <w:spacing w:after="240" w:line="540" w:lineRule="exact"/>
        <w:jc w:val="center"/>
        <w:outlineLvl w:val="9"/>
        <w:rPr>
          <w:rFonts w:hint="eastAsia" w:ascii="方正小标宋简体" w:hAnsi="方正小标宋简体" w:eastAsia="方正小标宋简体" w:cs="方正小标宋简体"/>
          <w:b w:val="0"/>
          <w:bCs/>
          <w:color w:val="auto"/>
          <w:sz w:val="44"/>
          <w:szCs w:val="44"/>
          <w:highlight w:val="none"/>
        </w:rPr>
      </w:pPr>
      <w:r>
        <w:rPr>
          <w:rFonts w:hint="eastAsia" w:ascii="方正小标宋简体" w:hAnsi="方正小标宋简体" w:eastAsia="方正小标宋简体" w:cs="方正小标宋简体"/>
          <w:b w:val="0"/>
          <w:bCs/>
          <w:color w:val="auto"/>
          <w:sz w:val="44"/>
          <w:szCs w:val="44"/>
          <w:highlight w:val="none"/>
        </w:rPr>
        <w:t>北京市农村经济研究中心</w:t>
      </w:r>
    </w:p>
    <w:p>
      <w:pPr>
        <w:spacing w:after="240" w:line="540" w:lineRule="exact"/>
        <w:jc w:val="center"/>
        <w:outlineLvl w:val="9"/>
        <w:rPr>
          <w:rFonts w:hint="eastAsia" w:ascii="方正小标宋简体" w:hAnsi="方正小标宋简体" w:eastAsia="方正小标宋简体" w:cs="方正小标宋简体"/>
          <w:b w:val="0"/>
          <w:bCs/>
          <w:color w:val="auto"/>
          <w:sz w:val="44"/>
          <w:szCs w:val="44"/>
          <w:highlight w:val="none"/>
        </w:rPr>
      </w:pPr>
      <w:r>
        <w:rPr>
          <w:rFonts w:hint="eastAsia" w:ascii="方正小标宋简体" w:hAnsi="方正小标宋简体" w:eastAsia="方正小标宋简体" w:cs="方正小标宋简体"/>
          <w:b w:val="0"/>
          <w:bCs/>
          <w:color w:val="auto"/>
          <w:sz w:val="44"/>
          <w:szCs w:val="44"/>
          <w:highlight w:val="none"/>
          <w:lang w:val="en-US" w:eastAsia="zh-CN"/>
        </w:rPr>
        <w:t>2024年度</w:t>
      </w:r>
      <w:r>
        <w:rPr>
          <w:rFonts w:hint="eastAsia" w:ascii="方正小标宋简体" w:hAnsi="方正小标宋简体" w:eastAsia="方正小标宋简体" w:cs="方正小标宋简体"/>
          <w:b w:val="0"/>
          <w:bCs/>
          <w:color w:val="auto"/>
          <w:sz w:val="44"/>
          <w:szCs w:val="44"/>
          <w:highlight w:val="none"/>
        </w:rPr>
        <w:t>部门整体绩效评价报告</w:t>
      </w:r>
    </w:p>
    <w:p>
      <w:pPr>
        <w:jc w:val="center"/>
        <w:rPr>
          <w:b/>
          <w:bCs/>
          <w:sz w:val="52"/>
        </w:rPr>
      </w:pPr>
    </w:p>
    <w:p>
      <w:pPr>
        <w:rPr>
          <w:rFonts w:eastAsia="黑体"/>
          <w:sz w:val="30"/>
          <w:u w:val="single"/>
        </w:rPr>
      </w:pPr>
    </w:p>
    <w:p>
      <w:pPr>
        <w:rPr>
          <w:rFonts w:eastAsia="黑体"/>
          <w:sz w:val="30"/>
          <w:u w:val="single"/>
        </w:rPr>
      </w:pPr>
    </w:p>
    <w:p>
      <w:pPr>
        <w:rPr>
          <w:rFonts w:eastAsia="黑体"/>
          <w:sz w:val="30"/>
          <w:u w:val="single"/>
        </w:rPr>
      </w:pPr>
    </w:p>
    <w:p>
      <w:pPr>
        <w:pStyle w:val="2"/>
        <w:rPr>
          <w:rFonts w:eastAsia="黑体"/>
          <w:sz w:val="30"/>
          <w:u w:val="single"/>
        </w:rPr>
      </w:pPr>
    </w:p>
    <w:p>
      <w:pPr>
        <w:pStyle w:val="3"/>
        <w:rPr>
          <w:rFonts w:eastAsia="黑体"/>
          <w:sz w:val="30"/>
          <w:u w:val="single"/>
        </w:rPr>
      </w:pPr>
    </w:p>
    <w:p>
      <w:pPr>
        <w:rPr>
          <w:rFonts w:eastAsia="黑体"/>
          <w:sz w:val="30"/>
          <w:u w:val="single"/>
        </w:rPr>
      </w:pPr>
    </w:p>
    <w:p>
      <w:pPr>
        <w:pStyle w:val="3"/>
        <w:rPr>
          <w:rFonts w:eastAsia="黑体"/>
          <w:sz w:val="30"/>
          <w:u w:val="single"/>
        </w:rPr>
      </w:pPr>
    </w:p>
    <w:p/>
    <w:p>
      <w:pPr>
        <w:jc w:val="center"/>
        <w:rPr>
          <w:rFonts w:ascii="宋体"/>
          <w:bCs/>
          <w:sz w:val="36"/>
          <w:szCs w:val="36"/>
        </w:rPr>
      </w:pPr>
      <w:r>
        <w:rPr>
          <w:rFonts w:hint="eastAsia" w:ascii="仿宋_GB2312" w:hAnsi="仿宋_GB2312" w:eastAsia="仿宋_GB2312" w:cs="仿宋_GB2312"/>
          <w:b/>
          <w:bCs/>
          <w:color w:val="auto"/>
          <w:sz w:val="32"/>
          <w:szCs w:val="32"/>
          <w:highlight w:val="none"/>
          <w:lang w:val="en-US" w:eastAsia="zh-CN"/>
        </w:rPr>
        <w:t>2025年5月</w:t>
      </w:r>
    </w:p>
    <w:p>
      <w:pPr>
        <w:spacing w:line="560" w:lineRule="exact"/>
        <w:jc w:val="center"/>
        <w:rPr>
          <w:rFonts w:hint="eastAsia" w:ascii="微软雅黑" w:eastAsia="微软雅黑"/>
          <w:sz w:val="36"/>
          <w:szCs w:val="36"/>
        </w:rPr>
        <w:sectPr>
          <w:footerReference r:id="rId3" w:type="default"/>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pPr>
    </w:p>
    <w:p>
      <w:pPr>
        <w:spacing w:line="560" w:lineRule="exact"/>
        <w:jc w:val="center"/>
        <w:rPr>
          <w:rFonts w:hint="eastAsia" w:ascii="方正小标宋简体" w:hAnsi="方正小标宋简体" w:eastAsia="方正小标宋简体" w:cs="方正小标宋简体"/>
          <w:sz w:val="36"/>
          <w:szCs w:val="36"/>
          <w:lang w:eastAsia="zh-CN"/>
        </w:rPr>
      </w:pPr>
      <w:r>
        <w:rPr>
          <w:rFonts w:hint="eastAsia" w:ascii="方正小标宋简体" w:hAnsi="方正小标宋简体" w:eastAsia="方正小标宋简体" w:cs="方正小标宋简体"/>
          <w:sz w:val="36"/>
          <w:szCs w:val="36"/>
        </w:rPr>
        <w:t>北京市农村经济研究中心</w:t>
      </w:r>
    </w:p>
    <w:p>
      <w:pPr>
        <w:spacing w:line="560" w:lineRule="exact"/>
        <w:jc w:val="center"/>
        <w:rPr>
          <w:rFonts w:hint="eastAsia"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lang w:val="en-US" w:eastAsia="zh-CN"/>
        </w:rPr>
        <w:t>2024年度</w:t>
      </w:r>
      <w:r>
        <w:rPr>
          <w:rFonts w:hint="eastAsia" w:ascii="方正小标宋简体" w:hAnsi="方正小标宋简体" w:eastAsia="方正小标宋简体" w:cs="方正小标宋简体"/>
          <w:sz w:val="36"/>
          <w:szCs w:val="36"/>
        </w:rPr>
        <w:t>部门整体绩效评价报告</w:t>
      </w:r>
    </w:p>
    <w:p>
      <w:pPr>
        <w:spacing w:line="560" w:lineRule="exact"/>
        <w:jc w:val="center"/>
        <w:rPr>
          <w:rFonts w:ascii="微软雅黑" w:eastAsia="微软雅黑"/>
          <w:sz w:val="36"/>
          <w:szCs w:val="36"/>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bCs/>
          <w:kern w:val="0"/>
          <w:sz w:val="32"/>
          <w:szCs w:val="28"/>
        </w:rPr>
        <w:t>为进一步加强预算绩效管理，强化支出责任，提高财政资金使用效益</w:t>
      </w:r>
      <w:r>
        <w:rPr>
          <w:rFonts w:hint="eastAsia" w:ascii="仿宋_GB2312" w:hAnsi="楷体" w:eastAsia="仿宋_GB2312"/>
          <w:bCs/>
          <w:kern w:val="0"/>
          <w:sz w:val="32"/>
          <w:szCs w:val="28"/>
          <w:lang w:val="en-US" w:eastAsia="zh-CN"/>
        </w:rPr>
        <w:t>和部门管理水平</w:t>
      </w:r>
      <w:r>
        <w:rPr>
          <w:rFonts w:hint="eastAsia" w:ascii="仿宋_GB2312" w:hAnsi="仿宋_GB2312" w:eastAsia="仿宋_GB2312" w:cs="仿宋_GB2312"/>
          <w:bCs/>
          <w:kern w:val="0"/>
          <w:sz w:val="32"/>
          <w:szCs w:val="28"/>
        </w:rPr>
        <w:t>，考核财政支出效率和综合效果，根据</w:t>
      </w:r>
      <w:r>
        <w:rPr>
          <w:rFonts w:hint="eastAsia" w:ascii="仿宋_GB2312" w:hAnsi="仿宋_GB2312" w:eastAsia="仿宋_GB2312" w:cs="仿宋_GB2312"/>
          <w:sz w:val="32"/>
        </w:rPr>
        <w:t>《中共北京市委 北京市人民政府关于全面实施预算绩效管理的实施意见》（京发〔2019〕12号）</w:t>
      </w:r>
      <w:r>
        <w:rPr>
          <w:rFonts w:hint="eastAsia" w:ascii="仿宋_GB2312" w:hAnsi="仿宋_GB2312" w:eastAsia="仿宋_GB2312" w:cs="仿宋_GB2312"/>
          <w:bCs/>
          <w:kern w:val="0"/>
          <w:sz w:val="32"/>
          <w:szCs w:val="28"/>
        </w:rPr>
        <w:t>《北京市项目支出绩效评价管理办法》（京财绩效〔2020〕2146号）</w:t>
      </w:r>
      <w:r>
        <w:rPr>
          <w:rFonts w:hint="eastAsia" w:ascii="仿宋_GB2312" w:hAnsi="仿宋_GB2312" w:eastAsia="仿宋_GB2312" w:cs="仿宋_GB2312"/>
          <w:bCs/>
          <w:kern w:val="0"/>
          <w:sz w:val="32"/>
          <w:szCs w:val="28"/>
          <w:highlight w:val="none"/>
          <w:lang w:val="en-US" w:eastAsia="zh-CN"/>
        </w:rPr>
        <w:t>等相关规定</w:t>
      </w:r>
      <w:r>
        <w:rPr>
          <w:rFonts w:hint="eastAsia" w:ascii="仿宋_GB2312" w:hAnsi="仿宋_GB2312" w:eastAsia="仿宋_GB2312" w:cs="仿宋_GB2312"/>
          <w:bCs/>
          <w:kern w:val="0"/>
          <w:sz w:val="32"/>
          <w:szCs w:val="28"/>
        </w:rPr>
        <w:t>，结合《</w:t>
      </w:r>
      <w:r>
        <w:rPr>
          <w:rFonts w:hint="eastAsia" w:ascii="仿宋_GB2312" w:hAnsi="仿宋_GB2312" w:eastAsia="仿宋_GB2312" w:cs="仿宋_GB2312"/>
          <w:bCs/>
          <w:kern w:val="0"/>
          <w:sz w:val="32"/>
          <w:szCs w:val="28"/>
          <w:lang w:val="en-US" w:eastAsia="zh-CN"/>
        </w:rPr>
        <w:t>北京市财政局关于2025年预算绩效管理工作的通知</w:t>
      </w:r>
      <w:r>
        <w:rPr>
          <w:rFonts w:hint="eastAsia" w:ascii="仿宋_GB2312" w:hAnsi="仿宋_GB2312" w:eastAsia="仿宋_GB2312" w:cs="仿宋_GB2312"/>
          <w:bCs/>
          <w:kern w:val="0"/>
          <w:sz w:val="32"/>
          <w:szCs w:val="28"/>
          <w:highlight w:val="none"/>
        </w:rPr>
        <w:t>》</w:t>
      </w:r>
      <w:r>
        <w:rPr>
          <w:rFonts w:hint="eastAsia" w:ascii="仿宋_GB2312" w:hAnsi="仿宋_GB2312" w:eastAsia="仿宋_GB2312" w:cs="仿宋_GB2312"/>
          <w:bCs/>
          <w:kern w:val="0"/>
          <w:sz w:val="32"/>
          <w:szCs w:val="28"/>
          <w:highlight w:val="none"/>
          <w:lang w:val="en-US" w:eastAsia="zh-CN"/>
        </w:rPr>
        <w:t>要求</w:t>
      </w:r>
      <w:r>
        <w:rPr>
          <w:rFonts w:hint="eastAsia" w:ascii="仿宋_GB2312" w:hAnsi="仿宋_GB2312" w:eastAsia="仿宋_GB2312" w:cs="仿宋_GB2312"/>
          <w:bCs/>
          <w:kern w:val="0"/>
          <w:sz w:val="32"/>
          <w:szCs w:val="28"/>
        </w:rPr>
        <w:t>，北京市农村经济研究中心（以下简称“市农研中心”）组建绩效评价工作组，实施202</w:t>
      </w:r>
      <w:r>
        <w:rPr>
          <w:rFonts w:hint="eastAsia" w:ascii="仿宋_GB2312" w:hAnsi="仿宋_GB2312" w:eastAsia="仿宋_GB2312" w:cs="仿宋_GB2312"/>
          <w:bCs/>
          <w:kern w:val="0"/>
          <w:sz w:val="32"/>
          <w:szCs w:val="28"/>
          <w:lang w:val="en-US" w:eastAsia="zh-CN"/>
        </w:rPr>
        <w:t>4</w:t>
      </w:r>
      <w:r>
        <w:rPr>
          <w:rFonts w:hint="eastAsia" w:ascii="仿宋_GB2312" w:hAnsi="仿宋_GB2312" w:eastAsia="仿宋_GB2312" w:cs="仿宋_GB2312"/>
          <w:bCs/>
          <w:kern w:val="0"/>
          <w:sz w:val="32"/>
          <w:szCs w:val="28"/>
        </w:rPr>
        <w:t>年度部门整体绩效评价，形成本绩效评价报告。</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0"/>
        <w:rPr>
          <w:rFonts w:hint="eastAsia" w:ascii="黑体" w:hAnsi="黑体" w:eastAsia="黑体" w:cs="黑体"/>
          <w:color w:val="000000"/>
          <w:kern w:val="0"/>
          <w:sz w:val="32"/>
          <w:szCs w:val="32"/>
        </w:rPr>
      </w:pPr>
      <w:r>
        <w:rPr>
          <w:rFonts w:hint="eastAsia" w:ascii="黑体" w:hAnsi="黑体" w:eastAsia="黑体" w:cs="黑体"/>
          <w:color w:val="000000"/>
          <w:kern w:val="0"/>
          <w:sz w:val="32"/>
          <w:szCs w:val="32"/>
        </w:rPr>
        <w:t>一、部门概况</w:t>
      </w:r>
    </w:p>
    <w:p>
      <w:pPr>
        <w:spacing w:line="240" w:lineRule="auto"/>
        <w:ind w:firstLine="640" w:firstLineChars="200"/>
        <w:rPr>
          <w:rFonts w:hint="eastAsia" w:ascii="楷体_GB2312" w:hAnsi="Calibri" w:eastAsia="楷体_GB2312"/>
          <w:b w:val="0"/>
          <w:bCs w:val="0"/>
          <w:sz w:val="32"/>
          <w:szCs w:val="32"/>
        </w:rPr>
      </w:pPr>
      <w:r>
        <w:rPr>
          <w:rFonts w:hint="eastAsia" w:ascii="楷体_GB2312" w:hAnsi="Calibri" w:eastAsia="楷体_GB2312"/>
          <w:b w:val="0"/>
          <w:bCs w:val="0"/>
          <w:sz w:val="32"/>
          <w:szCs w:val="32"/>
        </w:rPr>
        <w:t>（一）机构设置及职责工作任务情况</w:t>
      </w:r>
    </w:p>
    <w:p>
      <w:pPr>
        <w:keepNext w:val="0"/>
        <w:keepLines w:val="0"/>
        <w:pageBreakBefore w:val="0"/>
        <w:widowControl/>
        <w:kinsoku/>
        <w:wordWrap/>
        <w:overflowPunct/>
        <w:topLinePunct w:val="0"/>
        <w:autoSpaceDE/>
        <w:autoSpaceDN/>
        <w:bidi w:val="0"/>
        <w:adjustRightInd/>
        <w:snapToGrid/>
        <w:spacing w:line="560" w:lineRule="exact"/>
        <w:ind w:right="0" w:firstLine="640" w:firstLineChars="200"/>
        <w:textAlignment w:val="auto"/>
        <w:outlineLvl w:val="2"/>
        <w:rPr>
          <w:rFonts w:hint="default" w:ascii="仿宋_GB2312" w:hAnsi="仿宋_GB2312" w:eastAsia="仿宋_GB2312" w:cs="仿宋_GB2312"/>
          <w:b w:val="0"/>
          <w:bCs w:val="0"/>
          <w:color w:val="auto"/>
          <w:sz w:val="32"/>
          <w:szCs w:val="32"/>
          <w:lang w:val="en-US"/>
        </w:rPr>
      </w:pPr>
      <w:r>
        <w:rPr>
          <w:rFonts w:hint="default" w:ascii="仿宋_GB2312" w:hAnsi="仿宋_GB2312" w:eastAsia="仿宋_GB2312" w:cs="仿宋_GB2312"/>
          <w:b w:val="0"/>
          <w:bCs w:val="0"/>
          <w:color w:val="auto"/>
          <w:sz w:val="32"/>
          <w:szCs w:val="32"/>
          <w:lang w:val="en-US"/>
        </w:rPr>
        <w:t>1.机构设置</w:t>
      </w:r>
    </w:p>
    <w:p>
      <w:pPr>
        <w:numPr>
          <w:ilvl w:val="-1"/>
          <w:numId w:val="0"/>
        </w:numPr>
        <w:snapToGrid/>
        <w:spacing w:line="560" w:lineRule="exact"/>
        <w:ind w:firstLine="640" w:firstLineChars="200"/>
        <w:rPr>
          <w:rFonts w:hint="default" w:ascii="仿宋_GB2312" w:hAnsi="仿宋_GB2312" w:eastAsia="仿宋_GB2312" w:cs="仿宋_GB2312"/>
          <w:bCs/>
          <w:kern w:val="0"/>
          <w:sz w:val="32"/>
          <w:szCs w:val="28"/>
          <w:highlight w:val="none"/>
          <w:lang w:val="en-US" w:eastAsia="zh-CN"/>
        </w:rPr>
      </w:pPr>
      <w:r>
        <w:rPr>
          <w:rFonts w:hint="default" w:ascii="仿宋_GB2312" w:hAnsi="仿宋_GB2312" w:eastAsia="仿宋_GB2312" w:cs="仿宋_GB2312"/>
          <w:bCs/>
          <w:kern w:val="0"/>
          <w:sz w:val="32"/>
          <w:szCs w:val="28"/>
          <w:lang w:val="en-US"/>
        </w:rPr>
        <w:t>市农研中心内设11个处室，分别为：办公室、调研综合处、经济体制处、城乡发展处、社会处、资源区划处、史志处、金融处、产业经济处、计财处、党建工作处（人事处）</w:t>
      </w:r>
      <w:r>
        <w:rPr>
          <w:rFonts w:hint="default" w:ascii="仿宋_GB2312" w:hAnsi="仿宋_GB2312" w:eastAsia="仿宋_GB2312" w:cs="仿宋_GB2312"/>
          <w:bCs/>
          <w:kern w:val="0"/>
          <w:sz w:val="32"/>
          <w:szCs w:val="28"/>
          <w:lang w:val="en-US"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hAnsi="仿宋_GB2312" w:eastAsia="仿宋_GB2312" w:cs="仿宋_GB2312"/>
          <w:bCs/>
          <w:kern w:val="0"/>
          <w:sz w:val="32"/>
          <w:szCs w:val="28"/>
          <w:lang w:val="en-US" w:eastAsia="zh-CN"/>
        </w:rPr>
      </w:pPr>
      <w:r>
        <w:rPr>
          <w:rFonts w:hint="eastAsia" w:ascii="仿宋_GB2312" w:hAnsi="仿宋_GB2312" w:eastAsia="仿宋_GB2312" w:cs="仿宋_GB2312"/>
          <w:b w:val="0"/>
          <w:bCs w:val="0"/>
          <w:color w:val="auto"/>
          <w:sz w:val="32"/>
          <w:szCs w:val="32"/>
          <w:lang w:val="en-US" w:eastAsia="zh-CN"/>
        </w:rPr>
        <w:t>2</w:t>
      </w:r>
      <w:r>
        <w:rPr>
          <w:rFonts w:hint="eastAsia" w:ascii="仿宋_GB2312" w:hAnsi="仿宋_GB2312" w:eastAsia="仿宋_GB2312" w:cs="仿宋_GB2312"/>
          <w:b w:val="0"/>
          <w:bCs w:val="0"/>
          <w:color w:val="auto"/>
          <w:kern w:val="2"/>
          <w:sz w:val="32"/>
          <w:szCs w:val="32"/>
        </w:rPr>
        <w:t>.</w:t>
      </w:r>
      <w:r>
        <w:rPr>
          <w:rFonts w:hint="eastAsia" w:ascii="仿宋_GB2312" w:hAnsi="仿宋_GB2312" w:eastAsia="仿宋_GB2312" w:cs="仿宋_GB2312"/>
          <w:bCs/>
          <w:kern w:val="0"/>
          <w:sz w:val="32"/>
          <w:szCs w:val="28"/>
          <w:lang w:val="en-US" w:eastAsia="zh-CN"/>
        </w:rPr>
        <w:t>部门职责</w:t>
      </w:r>
    </w:p>
    <w:p>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Cs/>
          <w:kern w:val="0"/>
          <w:sz w:val="32"/>
          <w:szCs w:val="28"/>
          <w:highlight w:val="none"/>
          <w:lang w:eastAsia="zh-CN"/>
        </w:rPr>
      </w:pPr>
      <w:r>
        <w:rPr>
          <w:rFonts w:hint="eastAsia" w:ascii="仿宋_GB2312" w:hAnsi="仿宋_GB2312" w:eastAsia="仿宋_GB2312" w:cs="仿宋_GB2312"/>
          <w:bCs/>
          <w:kern w:val="0"/>
          <w:sz w:val="32"/>
          <w:szCs w:val="28"/>
          <w:highlight w:val="none"/>
          <w:lang w:eastAsia="zh-CN"/>
        </w:rPr>
        <w:t>承担北京市“三农”工作和实施乡村振兴战略方面的政策研究，为推进农业农村现代化提供智力支撑。具体工作：在北京市委农工委、市农业农村局领导下，统一规划和组织北京市农口各区、局及有关单位开展农村战略研究和政策研究；承担农业资源调查、动态监测以及农业区划和规划研究工作；组织农村经济改革试验区和农业区划成果应用试验试点工作；开展对北京郊区农业与农村社会经济发展史、改革史的研究及其相关地方志、文献资料的编纂工作；开展农村改革与发展的理论研究，组织和参加北京市内外以及国际学术交流活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hAnsi="仿宋_GB2312" w:eastAsia="仿宋_GB2312" w:cs="仿宋_GB2312"/>
          <w:bCs/>
          <w:kern w:val="0"/>
          <w:sz w:val="32"/>
          <w:szCs w:val="28"/>
          <w:highlight w:val="none"/>
        </w:rPr>
      </w:pPr>
      <w:r>
        <w:rPr>
          <w:rFonts w:hint="eastAsia" w:ascii="仿宋_GB2312" w:hAnsi="仿宋_GB2312" w:eastAsia="仿宋_GB2312" w:cs="仿宋_GB2312"/>
          <w:bCs/>
          <w:kern w:val="0"/>
          <w:sz w:val="32"/>
          <w:szCs w:val="28"/>
          <w:highlight w:val="none"/>
          <w:lang w:val="en-US" w:eastAsia="zh-CN"/>
        </w:rPr>
        <w:t>3.</w:t>
      </w:r>
      <w:r>
        <w:rPr>
          <w:rFonts w:hint="eastAsia" w:ascii="仿宋_GB2312" w:hAnsi="仿宋_GB2312" w:eastAsia="仿宋_GB2312" w:cs="仿宋_GB2312"/>
          <w:bCs/>
          <w:kern w:val="0"/>
          <w:sz w:val="32"/>
          <w:szCs w:val="28"/>
          <w:highlight w:val="none"/>
        </w:rPr>
        <w:t>工作</w:t>
      </w:r>
      <w:r>
        <w:rPr>
          <w:rFonts w:hint="eastAsia" w:ascii="仿宋_GB2312" w:hAnsi="仿宋_GB2312" w:eastAsia="仿宋_GB2312" w:cs="仿宋_GB2312"/>
          <w:bCs/>
          <w:kern w:val="0"/>
          <w:sz w:val="32"/>
          <w:szCs w:val="28"/>
          <w:highlight w:val="none"/>
          <w:lang w:val="en-US" w:eastAsia="zh-CN"/>
        </w:rPr>
        <w:t>任务</w:t>
      </w:r>
      <w:r>
        <w:rPr>
          <w:rFonts w:hint="eastAsia" w:ascii="仿宋_GB2312" w:hAnsi="仿宋_GB2312" w:eastAsia="仿宋_GB2312" w:cs="仿宋_GB2312"/>
          <w:bCs/>
          <w:kern w:val="0"/>
          <w:sz w:val="32"/>
          <w:szCs w:val="28"/>
          <w:highlight w:val="none"/>
        </w:rPr>
        <w:t>情况</w:t>
      </w:r>
    </w:p>
    <w:p>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Cs/>
          <w:kern w:val="0"/>
          <w:sz w:val="32"/>
          <w:szCs w:val="28"/>
          <w:highlight w:val="none"/>
          <w:lang w:val="en-US" w:eastAsia="zh-CN"/>
        </w:rPr>
      </w:pPr>
      <w:r>
        <w:rPr>
          <w:rFonts w:hint="eastAsia" w:ascii="仿宋_GB2312" w:hAnsi="仿宋_GB2312" w:eastAsia="仿宋_GB2312" w:cs="仿宋_GB2312"/>
          <w:bCs/>
          <w:kern w:val="0"/>
          <w:sz w:val="32"/>
          <w:szCs w:val="28"/>
          <w:highlight w:val="none"/>
          <w:lang w:val="en-US" w:eastAsia="zh-CN"/>
        </w:rPr>
        <w:t>在市委农工委、市农业农</w:t>
      </w:r>
      <w:r>
        <w:rPr>
          <w:rFonts w:hint="eastAsia" w:ascii="仿宋_GB2312" w:hAnsi="仿宋_GB2312" w:eastAsia="仿宋_GB2312" w:cs="仿宋_GB2312"/>
          <w:bCs/>
          <w:kern w:val="0"/>
          <w:sz w:val="32"/>
          <w:szCs w:val="28"/>
          <w:lang w:val="en-US" w:eastAsia="zh-CN"/>
        </w:rPr>
        <w:t>村局的坚强领导下，市农研中心以习近平新时代中国特色社会主义思想为指导，全面贯彻落实党的二十大、二十届二中、三中全会精神，深入贯彻落实习近平总书记关于“三农”工作的重要论述和对北京重要讲话精神。市农研中心坚持新时代首都发展为统领，按照“头顶天、脚立地、腰杆硬”的工作要求，制定目标任务，坚持党建引领，切实将全市“三农”工作重点任务融入到调查研究的方向路径上、落实到决策咨询的行动成效上。通过统筹推进课题研究，重点推进专咨委工作，高质量完成了年度目标任务，为北京市</w:t>
      </w:r>
      <w:r>
        <w:rPr>
          <w:rFonts w:hint="eastAsia" w:ascii="仿宋_GB2312" w:hAnsi="仿宋_GB2312" w:eastAsia="仿宋_GB2312" w:cs="仿宋_GB2312"/>
          <w:bCs/>
          <w:kern w:val="0"/>
          <w:sz w:val="32"/>
          <w:szCs w:val="28"/>
          <w:highlight w:val="none"/>
          <w:lang w:val="en-US" w:eastAsia="zh-CN"/>
        </w:rPr>
        <w:t>进一步深化农村改革、推进乡村全面振兴，率先基本实现农业农村现代化提供了坚实的智力支撑。</w:t>
      </w:r>
    </w:p>
    <w:p>
      <w:pPr>
        <w:keepNext w:val="0"/>
        <w:keepLines w:val="0"/>
        <w:pageBreakBefore w:val="0"/>
        <w:widowControl/>
        <w:numPr>
          <w:ilvl w:val="-1"/>
          <w:numId w:val="0"/>
        </w:numPr>
        <w:kinsoku/>
        <w:wordWrap/>
        <w:overflowPunct/>
        <w:topLinePunct w:val="0"/>
        <w:autoSpaceDE/>
        <w:autoSpaceDN/>
        <w:bidi w:val="0"/>
        <w:adjustRightInd/>
        <w:snapToGrid/>
        <w:spacing w:line="240" w:lineRule="auto"/>
        <w:ind w:firstLine="640" w:firstLineChars="200"/>
        <w:textAlignment w:val="auto"/>
        <w:outlineLvl w:val="9"/>
        <w:rPr>
          <w:rFonts w:hint="eastAsia" w:ascii="楷体_GB2312" w:hAnsi="Calibri" w:eastAsia="楷体_GB2312"/>
          <w:b w:val="0"/>
          <w:bCs w:val="0"/>
          <w:sz w:val="32"/>
          <w:szCs w:val="32"/>
        </w:rPr>
      </w:pPr>
      <w:r>
        <w:rPr>
          <w:rFonts w:hint="eastAsia" w:ascii="楷体_GB2312" w:hAnsi="Calibri" w:eastAsia="楷体_GB2312"/>
          <w:b w:val="0"/>
          <w:bCs w:val="0"/>
          <w:sz w:val="32"/>
          <w:szCs w:val="32"/>
          <w:lang w:eastAsia="zh-CN"/>
        </w:rPr>
        <w:t>（</w:t>
      </w:r>
      <w:r>
        <w:rPr>
          <w:rFonts w:hint="eastAsia" w:ascii="楷体_GB2312" w:hAnsi="Calibri" w:eastAsia="楷体_GB2312"/>
          <w:b w:val="0"/>
          <w:bCs w:val="0"/>
          <w:sz w:val="32"/>
          <w:szCs w:val="32"/>
          <w:lang w:val="en-US" w:eastAsia="zh-CN"/>
        </w:rPr>
        <w:t>二</w:t>
      </w:r>
      <w:r>
        <w:rPr>
          <w:rFonts w:hint="eastAsia" w:ascii="楷体_GB2312" w:hAnsi="Calibri" w:eastAsia="楷体_GB2312"/>
          <w:b w:val="0"/>
          <w:bCs w:val="0"/>
          <w:sz w:val="32"/>
          <w:szCs w:val="32"/>
          <w:lang w:eastAsia="zh-CN"/>
        </w:rPr>
        <w:t>）</w:t>
      </w:r>
      <w:r>
        <w:rPr>
          <w:rFonts w:hint="eastAsia" w:ascii="楷体_GB2312" w:hAnsi="Calibri" w:eastAsia="楷体_GB2312"/>
          <w:b w:val="0"/>
          <w:bCs w:val="0"/>
          <w:sz w:val="32"/>
          <w:szCs w:val="32"/>
        </w:rPr>
        <w:t>部门整体绩效目标设立情况</w:t>
      </w:r>
    </w:p>
    <w:p>
      <w:pPr>
        <w:keepNext w:val="0"/>
        <w:keepLines w:val="0"/>
        <w:pageBreakBefore w:val="0"/>
        <w:widowControl/>
        <w:kinsoku/>
        <w:wordWrap/>
        <w:overflowPunct/>
        <w:topLinePunct w:val="0"/>
        <w:autoSpaceDE/>
        <w:autoSpaceDN/>
        <w:bidi w:val="0"/>
        <w:adjustRightInd/>
        <w:snapToGrid/>
        <w:spacing w:line="560" w:lineRule="exact"/>
        <w:ind w:right="0" w:firstLine="640" w:firstLineChars="200"/>
        <w:textAlignment w:val="auto"/>
        <w:outlineLvl w:val="2"/>
        <w:rPr>
          <w:rFonts w:hint="eastAsia" w:ascii="仿宋_GB2312" w:hAnsi="仿宋_GB2312" w:eastAsia="仿宋_GB2312" w:cs="仿宋_GB2312"/>
          <w:b w:val="0"/>
          <w:bCs w:val="0"/>
          <w:color w:val="auto"/>
          <w:sz w:val="32"/>
          <w:szCs w:val="32"/>
        </w:rPr>
      </w:pPr>
      <w:r>
        <w:rPr>
          <w:rFonts w:hint="eastAsia" w:ascii="仿宋_GB2312" w:hAnsi="仿宋_GB2312" w:eastAsia="仿宋_GB2312" w:cs="仿宋_GB2312"/>
          <w:b w:val="0"/>
          <w:bCs w:val="0"/>
          <w:color w:val="auto"/>
          <w:sz w:val="32"/>
          <w:szCs w:val="32"/>
        </w:rPr>
        <w:t>1.绩效目标设立依据</w:t>
      </w:r>
    </w:p>
    <w:p>
      <w:pPr>
        <w:keepNext w:val="0"/>
        <w:keepLines w:val="0"/>
        <w:pageBreakBefore w:val="0"/>
        <w:widowControl/>
        <w:kinsoku/>
        <w:wordWrap/>
        <w:overflowPunct/>
        <w:topLinePunct w:val="0"/>
        <w:autoSpaceDE/>
        <w:autoSpaceDN/>
        <w:bidi w:val="0"/>
        <w:adjustRightInd/>
        <w:snapToGrid/>
        <w:spacing w:line="560" w:lineRule="exact"/>
        <w:ind w:right="0" w:firstLine="640" w:firstLineChars="200"/>
        <w:textAlignment w:val="auto"/>
        <w:rPr>
          <w:rFonts w:hint="eastAsia" w:ascii="仿宋_GB2312" w:hAnsi="仿宋_GB2312" w:eastAsia="仿宋_GB2312" w:cs="仿宋_GB2312"/>
          <w:bCs/>
          <w:color w:val="auto"/>
          <w:kern w:val="0"/>
          <w:sz w:val="32"/>
          <w:szCs w:val="28"/>
        </w:rPr>
      </w:pPr>
      <w:r>
        <w:rPr>
          <w:rFonts w:hint="eastAsia" w:ascii="仿宋_GB2312" w:hAnsi="仿宋_GB2312" w:eastAsia="仿宋_GB2312" w:cs="仿宋_GB2312"/>
          <w:bCs/>
          <w:color w:val="auto"/>
          <w:kern w:val="0"/>
          <w:sz w:val="32"/>
          <w:szCs w:val="28"/>
        </w:rPr>
        <w:t>（</w:t>
      </w:r>
      <w:r>
        <w:rPr>
          <w:rFonts w:hint="eastAsia" w:ascii="仿宋_GB2312" w:hAnsi="仿宋_GB2312" w:eastAsia="仿宋_GB2312" w:cs="仿宋_GB2312"/>
          <w:bCs/>
          <w:color w:val="auto"/>
          <w:kern w:val="0"/>
          <w:sz w:val="32"/>
          <w:szCs w:val="28"/>
          <w:lang w:val="en-US" w:eastAsia="zh-CN"/>
        </w:rPr>
        <w:t>1</w:t>
      </w:r>
      <w:r>
        <w:rPr>
          <w:rFonts w:hint="eastAsia" w:ascii="仿宋_GB2312" w:hAnsi="仿宋_GB2312" w:eastAsia="仿宋_GB2312" w:cs="仿宋_GB2312"/>
          <w:bCs/>
          <w:color w:val="auto"/>
          <w:kern w:val="0"/>
          <w:sz w:val="32"/>
          <w:szCs w:val="28"/>
        </w:rPr>
        <w:t>）《北京市“十四五”时期农业科技发展规划》</w:t>
      </w:r>
      <w:r>
        <w:rPr>
          <w:rFonts w:hint="eastAsia" w:ascii="仿宋_GB2312" w:hAnsi="仿宋_GB2312" w:eastAsia="仿宋_GB2312" w:cs="仿宋_GB2312"/>
          <w:bCs/>
          <w:kern w:val="0"/>
          <w:sz w:val="32"/>
          <w:szCs w:val="28"/>
          <w:highlight w:val="none"/>
        </w:rPr>
        <w:t>《北京城市总体规划（2016年</w:t>
      </w:r>
      <w:r>
        <w:rPr>
          <w:rFonts w:hint="eastAsia" w:ascii="仿宋_GB2312" w:hAnsi="仿宋_GB2312" w:eastAsia="仿宋_GB2312" w:cs="仿宋_GB2312"/>
          <w:bCs/>
          <w:kern w:val="0"/>
          <w:sz w:val="32"/>
          <w:szCs w:val="28"/>
          <w:lang w:eastAsia="zh-CN"/>
        </w:rPr>
        <w:t>—</w:t>
      </w:r>
      <w:r>
        <w:rPr>
          <w:rFonts w:hint="eastAsia" w:ascii="仿宋_GB2312" w:hAnsi="仿宋_GB2312" w:eastAsia="仿宋_GB2312" w:cs="仿宋_GB2312"/>
          <w:bCs/>
          <w:kern w:val="0"/>
          <w:sz w:val="32"/>
          <w:szCs w:val="28"/>
          <w:highlight w:val="none"/>
        </w:rPr>
        <w:t>2035年）》</w:t>
      </w:r>
    </w:p>
    <w:p>
      <w:pPr>
        <w:keepNext w:val="0"/>
        <w:keepLines w:val="0"/>
        <w:pageBreakBefore w:val="0"/>
        <w:widowControl/>
        <w:kinsoku/>
        <w:wordWrap/>
        <w:overflowPunct/>
        <w:topLinePunct w:val="0"/>
        <w:autoSpaceDE/>
        <w:autoSpaceDN/>
        <w:bidi w:val="0"/>
        <w:adjustRightInd/>
        <w:snapToGrid/>
        <w:spacing w:line="560" w:lineRule="exact"/>
        <w:ind w:right="0" w:firstLine="640" w:firstLineChars="200"/>
        <w:textAlignment w:val="auto"/>
        <w:rPr>
          <w:rFonts w:hint="eastAsia" w:ascii="仿宋_GB2312" w:hAnsi="仿宋_GB2312" w:eastAsia="仿宋_GB2312" w:cs="仿宋_GB2312"/>
          <w:bCs/>
          <w:color w:val="auto"/>
          <w:kern w:val="0"/>
          <w:sz w:val="32"/>
          <w:szCs w:val="28"/>
        </w:rPr>
      </w:pPr>
      <w:r>
        <w:rPr>
          <w:rFonts w:hint="eastAsia" w:ascii="仿宋_GB2312" w:hAnsi="仿宋_GB2312" w:eastAsia="仿宋_GB2312" w:cs="仿宋_GB2312"/>
          <w:bCs/>
          <w:color w:val="auto"/>
          <w:kern w:val="0"/>
          <w:sz w:val="32"/>
          <w:szCs w:val="28"/>
        </w:rPr>
        <w:t>（</w:t>
      </w:r>
      <w:r>
        <w:rPr>
          <w:rFonts w:hint="eastAsia" w:ascii="仿宋_GB2312" w:hAnsi="仿宋_GB2312" w:eastAsia="仿宋_GB2312" w:cs="仿宋_GB2312"/>
          <w:bCs/>
          <w:color w:val="auto"/>
          <w:kern w:val="0"/>
          <w:sz w:val="32"/>
          <w:szCs w:val="28"/>
          <w:lang w:val="en-US" w:eastAsia="zh-CN"/>
        </w:rPr>
        <w:t>2</w:t>
      </w:r>
      <w:r>
        <w:rPr>
          <w:rFonts w:hint="eastAsia" w:ascii="仿宋_GB2312" w:hAnsi="仿宋_GB2312" w:eastAsia="仿宋_GB2312" w:cs="仿宋_GB2312"/>
          <w:bCs/>
          <w:color w:val="auto"/>
          <w:kern w:val="0"/>
          <w:sz w:val="32"/>
          <w:szCs w:val="28"/>
        </w:rPr>
        <w:t>）市</w:t>
      </w:r>
      <w:r>
        <w:rPr>
          <w:rFonts w:hint="eastAsia" w:ascii="仿宋_GB2312" w:hAnsi="仿宋_GB2312" w:eastAsia="仿宋_GB2312" w:cs="仿宋_GB2312"/>
          <w:bCs/>
          <w:kern w:val="0"/>
          <w:sz w:val="32"/>
          <w:szCs w:val="28"/>
        </w:rPr>
        <w:t>农研中心</w:t>
      </w:r>
      <w:r>
        <w:rPr>
          <w:rFonts w:hint="eastAsia" w:ascii="仿宋_GB2312" w:hAnsi="仿宋_GB2312" w:eastAsia="仿宋_GB2312" w:cs="仿宋_GB2312"/>
          <w:bCs/>
          <w:color w:val="auto"/>
          <w:kern w:val="0"/>
          <w:sz w:val="32"/>
          <w:szCs w:val="28"/>
        </w:rPr>
        <w:t>单位职能</w:t>
      </w:r>
    </w:p>
    <w:p>
      <w:pPr>
        <w:keepNext w:val="0"/>
        <w:keepLines w:val="0"/>
        <w:pageBreakBefore w:val="0"/>
        <w:widowControl/>
        <w:kinsoku/>
        <w:wordWrap/>
        <w:overflowPunct/>
        <w:topLinePunct w:val="0"/>
        <w:autoSpaceDE/>
        <w:autoSpaceDN/>
        <w:bidi w:val="0"/>
        <w:adjustRightInd/>
        <w:snapToGrid/>
        <w:spacing w:line="560" w:lineRule="exact"/>
        <w:ind w:right="0" w:firstLine="640" w:firstLineChars="200"/>
        <w:textAlignment w:val="auto"/>
        <w:rPr>
          <w:rFonts w:hint="eastAsia" w:ascii="仿宋_GB2312" w:hAnsi="仿宋_GB2312" w:eastAsia="仿宋_GB2312" w:cs="仿宋_GB2312"/>
          <w:bCs/>
          <w:color w:val="auto"/>
          <w:kern w:val="0"/>
          <w:sz w:val="32"/>
          <w:szCs w:val="28"/>
        </w:rPr>
      </w:pPr>
      <w:r>
        <w:rPr>
          <w:rFonts w:hint="eastAsia" w:ascii="仿宋_GB2312" w:hAnsi="仿宋_GB2312" w:eastAsia="仿宋_GB2312" w:cs="仿宋_GB2312"/>
          <w:bCs/>
          <w:color w:val="auto"/>
          <w:kern w:val="0"/>
          <w:sz w:val="32"/>
          <w:szCs w:val="28"/>
        </w:rPr>
        <w:t>（</w:t>
      </w:r>
      <w:r>
        <w:rPr>
          <w:rFonts w:hint="eastAsia" w:ascii="仿宋_GB2312" w:hAnsi="仿宋_GB2312" w:eastAsia="仿宋_GB2312" w:cs="仿宋_GB2312"/>
          <w:bCs/>
          <w:color w:val="auto"/>
          <w:kern w:val="0"/>
          <w:sz w:val="32"/>
          <w:szCs w:val="28"/>
          <w:lang w:val="en-US" w:eastAsia="zh-CN"/>
        </w:rPr>
        <w:t>3</w:t>
      </w:r>
      <w:r>
        <w:rPr>
          <w:rFonts w:hint="eastAsia" w:ascii="仿宋_GB2312" w:hAnsi="仿宋_GB2312" w:eastAsia="仿宋_GB2312" w:cs="仿宋_GB2312"/>
          <w:bCs/>
          <w:color w:val="auto"/>
          <w:kern w:val="0"/>
          <w:sz w:val="32"/>
          <w:szCs w:val="28"/>
        </w:rPr>
        <w:t>）市</w:t>
      </w:r>
      <w:r>
        <w:rPr>
          <w:rFonts w:hint="eastAsia" w:ascii="仿宋_GB2312" w:hAnsi="仿宋_GB2312" w:eastAsia="仿宋_GB2312" w:cs="仿宋_GB2312"/>
          <w:bCs/>
          <w:kern w:val="0"/>
          <w:sz w:val="32"/>
          <w:szCs w:val="28"/>
        </w:rPr>
        <w:t>农研中心</w:t>
      </w:r>
      <w:r>
        <w:rPr>
          <w:rFonts w:hint="eastAsia" w:ascii="仿宋_GB2312" w:hAnsi="仿宋_GB2312" w:eastAsia="仿宋_GB2312" w:cs="仿宋_GB2312"/>
          <w:bCs/>
          <w:color w:val="auto"/>
          <w:kern w:val="0"/>
          <w:sz w:val="32"/>
          <w:szCs w:val="28"/>
        </w:rPr>
        <w:t>年度工作计划</w:t>
      </w:r>
    </w:p>
    <w:p>
      <w:pPr>
        <w:keepNext w:val="0"/>
        <w:keepLines w:val="0"/>
        <w:pageBreakBefore w:val="0"/>
        <w:widowControl/>
        <w:kinsoku/>
        <w:wordWrap/>
        <w:overflowPunct/>
        <w:topLinePunct w:val="0"/>
        <w:autoSpaceDE/>
        <w:autoSpaceDN/>
        <w:bidi w:val="0"/>
        <w:adjustRightInd/>
        <w:snapToGrid/>
        <w:spacing w:line="560" w:lineRule="exact"/>
        <w:ind w:right="0" w:firstLine="640" w:firstLineChars="200"/>
        <w:textAlignment w:val="auto"/>
        <w:rPr>
          <w:rFonts w:hint="eastAsia" w:ascii="仿宋_GB2312" w:hAnsi="仿宋_GB2312" w:eastAsia="仿宋_GB2312" w:cs="仿宋_GB2312"/>
          <w:bCs/>
          <w:color w:val="auto"/>
          <w:kern w:val="0"/>
          <w:sz w:val="32"/>
          <w:szCs w:val="28"/>
        </w:rPr>
      </w:pPr>
      <w:r>
        <w:rPr>
          <w:rFonts w:hint="eastAsia" w:ascii="仿宋_GB2312" w:hAnsi="仿宋_GB2312" w:eastAsia="仿宋_GB2312" w:cs="仿宋_GB2312"/>
          <w:bCs/>
          <w:color w:val="auto"/>
          <w:kern w:val="0"/>
          <w:sz w:val="32"/>
          <w:szCs w:val="28"/>
        </w:rPr>
        <w:t>（</w:t>
      </w:r>
      <w:r>
        <w:rPr>
          <w:rFonts w:hint="eastAsia" w:ascii="仿宋_GB2312" w:hAnsi="仿宋_GB2312" w:eastAsia="仿宋_GB2312" w:cs="仿宋_GB2312"/>
          <w:bCs/>
          <w:color w:val="auto"/>
          <w:kern w:val="0"/>
          <w:sz w:val="32"/>
          <w:szCs w:val="28"/>
          <w:lang w:val="en-US" w:eastAsia="zh-CN"/>
        </w:rPr>
        <w:t>4</w:t>
      </w:r>
      <w:r>
        <w:rPr>
          <w:rFonts w:hint="eastAsia" w:ascii="仿宋_GB2312" w:hAnsi="仿宋_GB2312" w:eastAsia="仿宋_GB2312" w:cs="仿宋_GB2312"/>
          <w:bCs/>
          <w:color w:val="auto"/>
          <w:kern w:val="0"/>
          <w:sz w:val="32"/>
          <w:szCs w:val="28"/>
        </w:rPr>
        <w:t>）</w:t>
      </w:r>
      <w:r>
        <w:rPr>
          <w:rFonts w:hint="eastAsia" w:ascii="仿宋_GB2312" w:hAnsi="仿宋_GB2312" w:eastAsia="仿宋_GB2312" w:cs="仿宋_GB2312"/>
          <w:bCs/>
          <w:color w:val="auto"/>
          <w:kern w:val="0"/>
          <w:sz w:val="32"/>
          <w:szCs w:val="28"/>
          <w:lang w:val="en-US" w:eastAsia="zh-CN"/>
        </w:rPr>
        <w:t>市农研中心单位</w:t>
      </w:r>
      <w:r>
        <w:rPr>
          <w:rFonts w:hint="eastAsia" w:ascii="仿宋_GB2312" w:hAnsi="仿宋_GB2312" w:eastAsia="仿宋_GB2312" w:cs="仿宋_GB2312"/>
          <w:bCs/>
          <w:color w:val="auto"/>
          <w:kern w:val="0"/>
          <w:sz w:val="32"/>
          <w:szCs w:val="28"/>
        </w:rPr>
        <w:t>内部控制制度</w:t>
      </w:r>
    </w:p>
    <w:p>
      <w:pPr>
        <w:keepNext w:val="0"/>
        <w:keepLines w:val="0"/>
        <w:pageBreakBefore w:val="0"/>
        <w:widowControl/>
        <w:kinsoku/>
        <w:wordWrap/>
        <w:overflowPunct/>
        <w:topLinePunct w:val="0"/>
        <w:autoSpaceDE/>
        <w:autoSpaceDN/>
        <w:bidi w:val="0"/>
        <w:adjustRightInd/>
        <w:snapToGrid/>
        <w:spacing w:line="560" w:lineRule="exact"/>
        <w:ind w:right="0" w:firstLine="640" w:firstLineChars="200"/>
        <w:textAlignment w:val="auto"/>
        <w:rPr>
          <w:rFonts w:hint="eastAsia" w:ascii="仿宋_GB2312" w:hAnsi="仿宋_GB2312" w:eastAsia="仿宋_GB2312" w:cs="仿宋_GB2312"/>
          <w:bCs/>
          <w:kern w:val="0"/>
          <w:sz w:val="32"/>
          <w:szCs w:val="28"/>
        </w:rPr>
      </w:pPr>
      <w:r>
        <w:rPr>
          <w:rFonts w:hint="eastAsia" w:ascii="仿宋_GB2312" w:hAnsi="仿宋_GB2312" w:eastAsia="仿宋_GB2312" w:cs="仿宋_GB2312"/>
          <w:bCs/>
          <w:color w:val="auto"/>
          <w:kern w:val="0"/>
          <w:sz w:val="32"/>
          <w:szCs w:val="28"/>
        </w:rPr>
        <w:t>（</w:t>
      </w:r>
      <w:r>
        <w:rPr>
          <w:rFonts w:hint="eastAsia" w:ascii="仿宋_GB2312" w:hAnsi="仿宋_GB2312" w:eastAsia="仿宋_GB2312" w:cs="仿宋_GB2312"/>
          <w:bCs/>
          <w:color w:val="auto"/>
          <w:kern w:val="0"/>
          <w:sz w:val="32"/>
          <w:szCs w:val="28"/>
          <w:lang w:val="en-US" w:eastAsia="zh-CN"/>
        </w:rPr>
        <w:t>5</w:t>
      </w:r>
      <w:r>
        <w:rPr>
          <w:rFonts w:hint="eastAsia" w:ascii="仿宋_GB2312" w:hAnsi="仿宋_GB2312" w:eastAsia="仿宋_GB2312" w:cs="仿宋_GB2312"/>
          <w:bCs/>
          <w:color w:val="auto"/>
          <w:kern w:val="0"/>
          <w:sz w:val="32"/>
          <w:szCs w:val="28"/>
        </w:rPr>
        <w:t>）国家</w:t>
      </w:r>
      <w:r>
        <w:rPr>
          <w:rFonts w:hint="eastAsia" w:ascii="仿宋_GB2312" w:hAnsi="仿宋_GB2312" w:eastAsia="仿宋_GB2312" w:cs="仿宋_GB2312"/>
          <w:bCs/>
          <w:color w:val="auto"/>
          <w:kern w:val="0"/>
          <w:sz w:val="32"/>
          <w:szCs w:val="28"/>
          <w:lang w:val="en-US" w:eastAsia="zh-CN"/>
        </w:rPr>
        <w:t>和</w:t>
      </w:r>
      <w:r>
        <w:rPr>
          <w:rFonts w:hint="eastAsia" w:ascii="仿宋_GB2312" w:hAnsi="仿宋_GB2312" w:eastAsia="仿宋_GB2312" w:cs="仿宋_GB2312"/>
          <w:bCs/>
          <w:color w:val="auto"/>
          <w:kern w:val="0"/>
          <w:sz w:val="32"/>
          <w:szCs w:val="28"/>
        </w:rPr>
        <w:t>北京市相关法规、规章制度</w:t>
      </w:r>
    </w:p>
    <w:p>
      <w:pPr>
        <w:keepNext w:val="0"/>
        <w:keepLines w:val="0"/>
        <w:pageBreakBefore w:val="0"/>
        <w:widowControl/>
        <w:kinsoku/>
        <w:wordWrap/>
        <w:overflowPunct/>
        <w:topLinePunct w:val="0"/>
        <w:autoSpaceDE/>
        <w:autoSpaceDN/>
        <w:bidi w:val="0"/>
        <w:adjustRightInd/>
        <w:snapToGrid/>
        <w:spacing w:line="560" w:lineRule="exact"/>
        <w:ind w:right="0" w:firstLine="640" w:firstLineChars="200"/>
        <w:textAlignment w:val="auto"/>
        <w:outlineLvl w:val="2"/>
        <w:rPr>
          <w:rFonts w:hint="eastAsia" w:ascii="仿宋_GB2312" w:hAnsi="仿宋_GB2312" w:eastAsia="仿宋_GB2312" w:cs="仿宋_GB2312"/>
          <w:b w:val="0"/>
          <w:bCs w:val="0"/>
          <w:color w:val="auto"/>
          <w:sz w:val="32"/>
          <w:szCs w:val="32"/>
        </w:rPr>
      </w:pPr>
      <w:r>
        <w:rPr>
          <w:rFonts w:hint="eastAsia" w:ascii="仿宋_GB2312" w:hAnsi="仿宋_GB2312" w:eastAsia="仿宋_GB2312" w:cs="仿宋_GB2312"/>
          <w:b w:val="0"/>
          <w:bCs w:val="0"/>
          <w:color w:val="auto"/>
          <w:sz w:val="32"/>
          <w:szCs w:val="32"/>
        </w:rPr>
        <w:t>2.目标设置情况</w:t>
      </w:r>
    </w:p>
    <w:p>
      <w:pPr>
        <w:keepNext w:val="0"/>
        <w:keepLines w:val="0"/>
        <w:pageBreakBefore w:val="0"/>
        <w:kinsoku/>
        <w:wordWrap/>
        <w:overflowPunct/>
        <w:topLinePunct w:val="0"/>
        <w:autoSpaceDE/>
        <w:autoSpaceDN/>
        <w:bidi w:val="0"/>
        <w:adjustRightInd/>
        <w:spacing w:line="560" w:lineRule="exact"/>
        <w:ind w:firstLine="640" w:firstLineChars="200"/>
        <w:textAlignment w:val="auto"/>
        <w:rPr>
          <w:rFonts w:hint="eastAsia"/>
        </w:rPr>
      </w:pPr>
      <w:r>
        <w:rPr>
          <w:rFonts w:hint="eastAsia" w:ascii="仿宋_GB2312" w:hAnsi="仿宋_GB2312" w:eastAsia="仿宋_GB2312" w:cs="仿宋_GB2312"/>
          <w:bCs/>
          <w:color w:val="auto"/>
          <w:kern w:val="0"/>
          <w:sz w:val="32"/>
          <w:szCs w:val="28"/>
          <w:lang w:eastAsia="zh-CN"/>
        </w:rPr>
        <w:t>市农研中心</w:t>
      </w:r>
      <w:r>
        <w:rPr>
          <w:rFonts w:hint="eastAsia" w:ascii="仿宋_GB2312" w:hAnsi="仿宋_GB2312" w:eastAsia="仿宋_GB2312" w:cs="仿宋_GB2312"/>
          <w:bCs/>
          <w:color w:val="auto"/>
          <w:kern w:val="0"/>
          <w:sz w:val="32"/>
          <w:szCs w:val="28"/>
        </w:rPr>
        <w:t>部门整体</w:t>
      </w:r>
      <w:r>
        <w:rPr>
          <w:rFonts w:hint="eastAsia" w:ascii="仿宋_GB2312" w:hAnsi="仿宋_GB2312" w:eastAsia="仿宋_GB2312" w:cs="仿宋_GB2312"/>
          <w:bCs/>
          <w:kern w:val="0"/>
          <w:sz w:val="32"/>
          <w:szCs w:val="28"/>
        </w:rPr>
        <w:t>支出绩效目标是</w:t>
      </w:r>
      <w:r>
        <w:rPr>
          <w:rFonts w:hint="eastAsia" w:ascii="仿宋_GB2312" w:hAnsi="仿宋_GB2312" w:eastAsia="仿宋_GB2312" w:cs="仿宋_GB2312"/>
          <w:bCs/>
          <w:kern w:val="0"/>
          <w:sz w:val="32"/>
          <w:szCs w:val="28"/>
          <w:lang w:val="en-US" w:eastAsia="zh-CN"/>
        </w:rPr>
        <w:t>依据部门职能</w:t>
      </w:r>
      <w:r>
        <w:rPr>
          <w:rFonts w:hint="eastAsia" w:ascii="仿宋_GB2312" w:hAnsi="仿宋_GB2312" w:eastAsia="仿宋_GB2312" w:cs="仿宋_GB2312"/>
          <w:bCs/>
          <w:kern w:val="0"/>
          <w:sz w:val="32"/>
          <w:szCs w:val="28"/>
        </w:rPr>
        <w:t>职责，结合中长期</w:t>
      </w:r>
      <w:r>
        <w:rPr>
          <w:rFonts w:hint="eastAsia" w:ascii="仿宋_GB2312" w:hAnsi="仿宋_GB2312" w:eastAsia="仿宋_GB2312" w:cs="仿宋_GB2312"/>
          <w:bCs/>
          <w:kern w:val="0"/>
          <w:sz w:val="32"/>
          <w:szCs w:val="28"/>
          <w:lang w:val="en-US" w:eastAsia="zh-CN"/>
        </w:rPr>
        <w:t>规划</w:t>
      </w:r>
      <w:r>
        <w:rPr>
          <w:rFonts w:hint="eastAsia" w:ascii="仿宋_GB2312" w:hAnsi="仿宋_GB2312" w:eastAsia="仿宋_GB2312" w:cs="仿宋_GB2312"/>
          <w:bCs/>
          <w:kern w:val="0"/>
          <w:sz w:val="32"/>
          <w:szCs w:val="28"/>
        </w:rPr>
        <w:t>和202</w:t>
      </w:r>
      <w:r>
        <w:rPr>
          <w:rFonts w:hint="eastAsia" w:ascii="仿宋_GB2312" w:hAnsi="仿宋_GB2312" w:eastAsia="仿宋_GB2312" w:cs="仿宋_GB2312"/>
          <w:bCs/>
          <w:kern w:val="0"/>
          <w:sz w:val="32"/>
          <w:szCs w:val="28"/>
          <w:lang w:val="en-US" w:eastAsia="zh-CN"/>
        </w:rPr>
        <w:t>4</w:t>
      </w:r>
      <w:r>
        <w:rPr>
          <w:rFonts w:hint="eastAsia" w:ascii="仿宋_GB2312" w:hAnsi="仿宋_GB2312" w:eastAsia="仿宋_GB2312" w:cs="仿宋_GB2312"/>
          <w:bCs/>
          <w:kern w:val="0"/>
          <w:sz w:val="32"/>
          <w:szCs w:val="28"/>
        </w:rPr>
        <w:t>年度重点工作任务设立，</w:t>
      </w:r>
      <w:r>
        <w:rPr>
          <w:rFonts w:hint="eastAsia" w:ascii="仿宋_GB2312" w:hAnsi="仿宋_GB2312" w:eastAsia="仿宋_GB2312" w:cs="仿宋_GB2312"/>
          <w:bCs/>
          <w:color w:val="auto"/>
          <w:kern w:val="0"/>
          <w:sz w:val="32"/>
          <w:szCs w:val="28"/>
        </w:rPr>
        <w:t>部门整体支出绩效目标</w:t>
      </w:r>
      <w:r>
        <w:rPr>
          <w:rFonts w:hint="eastAsia" w:ascii="仿宋_GB2312" w:hAnsi="仿宋_GB2312" w:eastAsia="仿宋_GB2312" w:cs="仿宋_GB2312"/>
          <w:bCs/>
          <w:kern w:val="0"/>
          <w:sz w:val="32"/>
          <w:szCs w:val="28"/>
        </w:rPr>
        <w:t>反映</w:t>
      </w:r>
      <w:r>
        <w:rPr>
          <w:rFonts w:hint="eastAsia" w:ascii="仿宋_GB2312" w:hAnsi="仿宋_GB2312" w:eastAsia="仿宋_GB2312" w:cs="仿宋_GB2312"/>
          <w:bCs/>
          <w:kern w:val="0"/>
          <w:sz w:val="32"/>
          <w:szCs w:val="28"/>
          <w:lang w:val="en-US" w:eastAsia="zh-CN"/>
        </w:rPr>
        <w:t>了</w:t>
      </w:r>
      <w:r>
        <w:rPr>
          <w:rFonts w:hint="eastAsia" w:ascii="仿宋_GB2312" w:hAnsi="仿宋_GB2312" w:eastAsia="仿宋_GB2312" w:cs="仿宋_GB2312"/>
          <w:bCs/>
          <w:kern w:val="0"/>
          <w:sz w:val="32"/>
          <w:szCs w:val="28"/>
          <w:lang w:eastAsia="zh-CN"/>
        </w:rPr>
        <w:t>市农研中心</w:t>
      </w:r>
      <w:r>
        <w:rPr>
          <w:rFonts w:hint="eastAsia" w:ascii="仿宋_GB2312" w:hAnsi="仿宋_GB2312" w:eastAsia="仿宋_GB2312" w:cs="仿宋_GB2312"/>
          <w:bCs/>
          <w:kern w:val="0"/>
          <w:sz w:val="32"/>
          <w:szCs w:val="28"/>
        </w:rPr>
        <w:t>使用</w:t>
      </w:r>
      <w:r>
        <w:rPr>
          <w:rFonts w:hint="eastAsia" w:ascii="仿宋_GB2312" w:hAnsi="仿宋_GB2312" w:eastAsia="仿宋_GB2312" w:cs="仿宋_GB2312"/>
          <w:bCs/>
          <w:color w:val="auto"/>
          <w:kern w:val="0"/>
          <w:sz w:val="32"/>
          <w:szCs w:val="28"/>
        </w:rPr>
        <w:t>部门预算资金在年度履职中达到的总体产出和效果。</w:t>
      </w:r>
    </w:p>
    <w:p>
      <w:pPr>
        <w:keepNext w:val="0"/>
        <w:keepLines w:val="0"/>
        <w:pageBreakBefore w:val="0"/>
        <w:widowControl w:val="0"/>
        <w:kinsoku/>
        <w:wordWrap/>
        <w:overflowPunct/>
        <w:topLinePunct w:val="0"/>
        <w:autoSpaceDE/>
        <w:autoSpaceDN/>
        <w:bidi w:val="0"/>
        <w:adjustRightInd/>
        <w:snapToGrid/>
        <w:spacing w:line="240" w:lineRule="auto"/>
        <w:ind w:right="0" w:firstLine="642" w:firstLineChars="200"/>
        <w:textAlignment w:val="auto"/>
        <w:outlineLvl w:val="2"/>
        <w:rPr>
          <w:rFonts w:hint="eastAsia"/>
        </w:rPr>
      </w:pPr>
      <w:r>
        <w:rPr>
          <w:rFonts w:hint="eastAsia" w:ascii="仿宋_GB2312" w:hAnsi="仿宋_GB2312" w:eastAsia="仿宋_GB2312" w:cs="仿宋_GB2312"/>
          <w:b/>
          <w:bCs/>
          <w:color w:val="auto"/>
          <w:sz w:val="32"/>
          <w:szCs w:val="32"/>
          <w:lang w:val="en-US" w:eastAsia="zh-CN"/>
        </w:rPr>
        <w:t>整体</w:t>
      </w:r>
      <w:r>
        <w:rPr>
          <w:rFonts w:hint="eastAsia" w:ascii="仿宋_GB2312" w:hAnsi="仿宋_GB2312" w:eastAsia="仿宋_GB2312" w:cs="仿宋_GB2312"/>
          <w:b/>
          <w:bCs/>
          <w:color w:val="auto"/>
          <w:sz w:val="32"/>
          <w:szCs w:val="32"/>
        </w:rPr>
        <w:t>绩效目标：</w:t>
      </w:r>
    </w:p>
    <w:p>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Cs/>
          <w:kern w:val="0"/>
          <w:sz w:val="32"/>
          <w:szCs w:val="28"/>
          <w:highlight w:val="none"/>
        </w:rPr>
      </w:pPr>
      <w:r>
        <w:rPr>
          <w:rFonts w:hint="eastAsia" w:ascii="仿宋_GB2312" w:hAnsi="仿宋_GB2312" w:eastAsia="仿宋_GB2312" w:cs="仿宋_GB2312"/>
          <w:bCs/>
          <w:kern w:val="0"/>
          <w:sz w:val="32"/>
          <w:szCs w:val="28"/>
          <w:highlight w:val="none"/>
        </w:rPr>
        <w:t>以习近平新时代中国特色社会主义思想为指导，全面贯彻党的二十大精神，围绕实施具有首都特点乡村振兴战略，为市委、市政府领导农村改革与发展进行决策研究。深入贯彻落实中央经济工作会议、中央农村工作会议精神，按照全市“三农”工作部署要求，规划组织好市级涉农单位开展农村战略研究和政策研究。落实《北京城市总体规划（2016年-2035年）》，推动本市农业农村资源调查、观光休闲行业动态监测以及农业区划规划工作。紧扣首都城市“四个中心”战略定位开展调查研究，统筹做好京郊村集体运行状况跟踪检测和“三统筹”改革试验，促进集体经济转型发展。深入开展首都新型农村集体机制研究、北京乡村新产业新业态发展模式研究、新型农业经营主体带动农民就业研究，促进农民增收致富。借助专咨委的功能，持续开展本市农村改革与发展的理论研究，组织和参加市内外及国际学术交流，充分发挥农村研究智库作用，强化决策咨询服务。积极开展市场金融赋能乡村振兴研究、政策性农业保险险种优化研究，为农村集体经济发展和农民增收致富提供资金支撑。组织做好农业农村史志鉴刊编纂工作，宣传好党的富民惠民政策，挖掘农业农村改革致富带头人，总结好京郊农村改革发展的典型经验。保障中心各项工作正常运转。</w:t>
      </w:r>
    </w:p>
    <w:p>
      <w:pPr>
        <w:keepNext w:val="0"/>
        <w:keepLines w:val="0"/>
        <w:pageBreakBefore w:val="0"/>
        <w:widowControl w:val="0"/>
        <w:kinsoku/>
        <w:wordWrap/>
        <w:overflowPunct/>
        <w:topLinePunct w:val="0"/>
        <w:autoSpaceDE/>
        <w:autoSpaceDN/>
        <w:bidi w:val="0"/>
        <w:adjustRightInd/>
        <w:snapToGrid/>
        <w:spacing w:line="560" w:lineRule="exact"/>
        <w:ind w:right="0" w:firstLine="642" w:firstLineChars="200"/>
        <w:textAlignment w:val="auto"/>
        <w:outlineLvl w:val="2"/>
        <w:rPr>
          <w:rFonts w:hint="eastAsia" w:ascii="仿宋_GB2312" w:hAnsi="仿宋_GB2312" w:eastAsia="仿宋_GB2312" w:cs="仿宋_GB2312"/>
          <w:b/>
          <w:bCs/>
          <w:color w:val="auto"/>
          <w:sz w:val="32"/>
          <w:szCs w:val="32"/>
          <w:lang w:eastAsia="zh-CN"/>
        </w:rPr>
      </w:pPr>
      <w:r>
        <w:rPr>
          <w:rFonts w:hint="eastAsia" w:ascii="仿宋_GB2312" w:hAnsi="仿宋_GB2312" w:eastAsia="仿宋_GB2312" w:cs="仿宋_GB2312"/>
          <w:b/>
          <w:bCs/>
          <w:color w:val="auto"/>
          <w:sz w:val="32"/>
          <w:szCs w:val="32"/>
        </w:rPr>
        <w:t>绩效指标</w:t>
      </w:r>
      <w:r>
        <w:rPr>
          <w:rFonts w:hint="eastAsia" w:ascii="仿宋_GB2312" w:hAnsi="仿宋_GB2312" w:eastAsia="仿宋_GB2312" w:cs="仿宋_GB2312"/>
          <w:b/>
          <w:bCs/>
          <w:color w:val="auto"/>
          <w:sz w:val="32"/>
          <w:szCs w:val="32"/>
          <w:lang w:eastAsia="zh-CN"/>
        </w:rPr>
        <w:t>：</w:t>
      </w:r>
    </w:p>
    <w:p>
      <w:pPr>
        <w:keepNext w:val="0"/>
        <w:keepLines w:val="0"/>
        <w:pageBreakBefore w:val="0"/>
        <w:numPr>
          <w:ilvl w:val="0"/>
          <w:numId w:val="0"/>
        </w:numPr>
        <w:kinsoku/>
        <w:wordWrap/>
        <w:overflowPunct/>
        <w:topLinePunct w:val="0"/>
        <w:autoSpaceDE/>
        <w:autoSpaceDN/>
        <w:bidi w:val="0"/>
        <w:adjustRightInd/>
        <w:spacing w:line="560" w:lineRule="exact"/>
        <w:ind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kern w:val="2"/>
          <w:sz w:val="32"/>
          <w:szCs w:val="32"/>
          <w:lang w:val="en-US" w:eastAsia="zh-CN" w:bidi="ar-SA"/>
        </w:rPr>
        <w:t>（1）</w:t>
      </w:r>
      <w:r>
        <w:rPr>
          <w:rFonts w:hint="eastAsia" w:ascii="仿宋_GB2312" w:hAnsi="仿宋_GB2312" w:eastAsia="仿宋_GB2312" w:cs="仿宋_GB2312"/>
          <w:sz w:val="32"/>
          <w:szCs w:val="32"/>
        </w:rPr>
        <w:t>完成研究成果、杂志、发展报告等成果推广与智力服务数量</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79000</w:t>
      </w:r>
      <w:r>
        <w:rPr>
          <w:rFonts w:hint="eastAsia" w:ascii="仿宋_GB2312" w:hAnsi="仿宋_GB2312" w:eastAsia="仿宋_GB2312" w:cs="仿宋_GB2312"/>
          <w:sz w:val="32"/>
          <w:szCs w:val="32"/>
          <w:lang w:val="en-US" w:eastAsia="zh-CN"/>
        </w:rPr>
        <w:t>册。</w:t>
      </w:r>
    </w:p>
    <w:p>
      <w:pPr>
        <w:keepNext w:val="0"/>
        <w:keepLines w:val="0"/>
        <w:pageBreakBefore w:val="0"/>
        <w:numPr>
          <w:ilvl w:val="0"/>
          <w:numId w:val="1"/>
        </w:numPr>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举办学术交流会议或活动</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2</w:t>
      </w:r>
      <w:r>
        <w:rPr>
          <w:rFonts w:hint="eastAsia" w:ascii="仿宋_GB2312" w:hAnsi="仿宋_GB2312" w:eastAsia="仿宋_GB2312" w:cs="仿宋_GB2312"/>
          <w:sz w:val="32"/>
          <w:szCs w:val="32"/>
          <w:lang w:val="en-US" w:eastAsia="zh-CN"/>
        </w:rPr>
        <w:t>次。</w:t>
      </w:r>
    </w:p>
    <w:p>
      <w:pPr>
        <w:keepNext w:val="0"/>
        <w:keepLines w:val="0"/>
        <w:pageBreakBefore w:val="0"/>
        <w:numPr>
          <w:ilvl w:val="0"/>
          <w:numId w:val="0"/>
        </w:numPr>
        <w:kinsoku/>
        <w:wordWrap/>
        <w:overflowPunct/>
        <w:topLinePunct w:val="0"/>
        <w:autoSpaceDE/>
        <w:autoSpaceDN/>
        <w:bidi w:val="0"/>
        <w:adjustRightInd/>
        <w:spacing w:line="560" w:lineRule="exact"/>
        <w:ind w:firstLine="640" w:firstLineChars="200"/>
        <w:textAlignment w:val="auto"/>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kern w:val="2"/>
          <w:sz w:val="32"/>
          <w:szCs w:val="32"/>
          <w:lang w:val="en-US" w:eastAsia="zh-CN" w:bidi="ar-SA"/>
        </w:rPr>
        <w:t>（</w:t>
      </w:r>
      <w:r>
        <w:rPr>
          <w:rFonts w:hint="eastAsia" w:ascii="仿宋_GB2312" w:hAnsi="仿宋_GB2312" w:eastAsia="仿宋_GB2312" w:cs="仿宋_GB2312"/>
          <w:kern w:val="2"/>
          <w:sz w:val="32"/>
          <w:szCs w:val="32"/>
          <w:lang w:val="en-US" w:eastAsia="zh-CN" w:bidi="ar-SA"/>
        </w:rPr>
        <w:t>3</w:t>
      </w:r>
      <w:r>
        <w:rPr>
          <w:rFonts w:hint="default" w:ascii="仿宋_GB2312" w:hAnsi="仿宋_GB2312" w:eastAsia="仿宋_GB2312" w:cs="仿宋_GB2312"/>
          <w:kern w:val="2"/>
          <w:sz w:val="32"/>
          <w:szCs w:val="32"/>
          <w:lang w:val="en-US" w:eastAsia="zh-CN" w:bidi="ar-SA"/>
        </w:rPr>
        <w:t>）</w:t>
      </w:r>
      <w:r>
        <w:rPr>
          <w:rFonts w:hint="default" w:ascii="仿宋_GB2312" w:hAnsi="仿宋_GB2312" w:eastAsia="仿宋_GB2312" w:cs="仿宋_GB2312"/>
          <w:sz w:val="32"/>
          <w:szCs w:val="32"/>
        </w:rPr>
        <w:t>完成《农研决策参考》，《调查研究报告》，举办农研智库大讲堂</w:t>
      </w:r>
      <w:r>
        <w:rPr>
          <w:rFonts w:hint="eastAsia" w:ascii="仿宋_GB2312" w:hAnsi="仿宋_GB2312" w:eastAsia="仿宋_GB2312" w:cs="仿宋_GB2312"/>
          <w:sz w:val="32"/>
          <w:szCs w:val="32"/>
          <w:lang w:val="en-US" w:eastAsia="zh-CN"/>
        </w:rPr>
        <w:t>≥70期。</w:t>
      </w:r>
    </w:p>
    <w:p>
      <w:pPr>
        <w:keepNext w:val="0"/>
        <w:keepLines w:val="0"/>
        <w:pageBreakBefore w:val="0"/>
        <w:numPr>
          <w:ilvl w:val="0"/>
          <w:numId w:val="0"/>
        </w:numPr>
        <w:kinsoku/>
        <w:wordWrap/>
        <w:overflowPunct/>
        <w:topLinePunct w:val="0"/>
        <w:autoSpaceDE/>
        <w:autoSpaceDN/>
        <w:bidi w:val="0"/>
        <w:adjustRightInd/>
        <w:spacing w:line="560" w:lineRule="exact"/>
        <w:ind w:firstLine="640" w:firstLineChars="200"/>
        <w:textAlignment w:val="auto"/>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kern w:val="2"/>
          <w:sz w:val="32"/>
          <w:szCs w:val="32"/>
          <w:lang w:val="en-US" w:eastAsia="zh-CN" w:bidi="ar-SA"/>
        </w:rPr>
        <w:t>（</w:t>
      </w:r>
      <w:r>
        <w:rPr>
          <w:rFonts w:hint="eastAsia" w:ascii="仿宋_GB2312" w:hAnsi="仿宋_GB2312" w:eastAsia="仿宋_GB2312" w:cs="仿宋_GB2312"/>
          <w:kern w:val="2"/>
          <w:sz w:val="32"/>
          <w:szCs w:val="32"/>
          <w:lang w:val="en-US" w:eastAsia="zh-CN" w:bidi="ar-SA"/>
        </w:rPr>
        <w:t>4</w:t>
      </w:r>
      <w:r>
        <w:rPr>
          <w:rFonts w:hint="default" w:ascii="仿宋_GB2312" w:hAnsi="仿宋_GB2312" w:eastAsia="仿宋_GB2312" w:cs="仿宋_GB2312"/>
          <w:kern w:val="2"/>
          <w:sz w:val="32"/>
          <w:szCs w:val="32"/>
          <w:lang w:val="en-US" w:eastAsia="zh-CN" w:bidi="ar-SA"/>
        </w:rPr>
        <w:t>）</w:t>
      </w:r>
      <w:r>
        <w:rPr>
          <w:rFonts w:hint="default" w:ascii="仿宋_GB2312" w:hAnsi="仿宋_GB2312" w:eastAsia="仿宋_GB2312" w:cs="仿宋_GB2312"/>
          <w:sz w:val="32"/>
          <w:szCs w:val="32"/>
        </w:rPr>
        <w:t>专咨委完成调研课题≥25项，每项课题至少一篇课题研究报告，至少一篇决策咨询报告</w:t>
      </w:r>
      <w:r>
        <w:rPr>
          <w:rFonts w:hint="eastAsia" w:ascii="仿宋_GB2312" w:hAnsi="仿宋_GB2312" w:eastAsia="仿宋_GB2312" w:cs="仿宋_GB2312"/>
          <w:sz w:val="32"/>
          <w:szCs w:val="32"/>
          <w:lang w:val="en-US" w:eastAsia="zh-CN"/>
        </w:rPr>
        <w:t>≥50篇。</w:t>
      </w:r>
    </w:p>
    <w:p>
      <w:pPr>
        <w:keepNext w:val="0"/>
        <w:keepLines w:val="0"/>
        <w:pageBreakBefore w:val="0"/>
        <w:numPr>
          <w:ilvl w:val="-1"/>
          <w:numId w:val="0"/>
        </w:numPr>
        <w:kinsoku/>
        <w:wordWrap/>
        <w:overflowPunct/>
        <w:topLinePunct w:val="0"/>
        <w:autoSpaceDE/>
        <w:autoSpaceDN/>
        <w:bidi w:val="0"/>
        <w:adjustRightInd/>
        <w:spacing w:line="560" w:lineRule="exact"/>
        <w:ind w:firstLine="640" w:firstLineChars="200"/>
        <w:textAlignment w:val="auto"/>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kern w:val="2"/>
          <w:sz w:val="32"/>
          <w:szCs w:val="32"/>
          <w:lang w:val="en-US" w:eastAsia="zh-CN" w:bidi="ar-SA"/>
        </w:rPr>
        <w:t>（</w:t>
      </w:r>
      <w:r>
        <w:rPr>
          <w:rFonts w:hint="eastAsia" w:ascii="仿宋_GB2312" w:hAnsi="仿宋_GB2312" w:eastAsia="仿宋_GB2312" w:cs="仿宋_GB2312"/>
          <w:kern w:val="2"/>
          <w:sz w:val="32"/>
          <w:szCs w:val="32"/>
          <w:lang w:val="en-US" w:eastAsia="zh-CN" w:bidi="ar-SA"/>
        </w:rPr>
        <w:t>5</w:t>
      </w:r>
      <w:r>
        <w:rPr>
          <w:rFonts w:hint="default" w:ascii="仿宋_GB2312" w:hAnsi="仿宋_GB2312" w:eastAsia="仿宋_GB2312" w:cs="仿宋_GB2312"/>
          <w:kern w:val="2"/>
          <w:sz w:val="32"/>
          <w:szCs w:val="32"/>
          <w:lang w:val="en-US" w:eastAsia="zh-CN" w:bidi="ar-SA"/>
        </w:rPr>
        <w:t>）</w:t>
      </w:r>
      <w:r>
        <w:rPr>
          <w:rFonts w:hint="eastAsia" w:ascii="仿宋_GB2312" w:hAnsi="仿宋_GB2312" w:eastAsia="仿宋_GB2312" w:cs="仿宋_GB2312"/>
          <w:sz w:val="32"/>
          <w:szCs w:val="32"/>
        </w:rPr>
        <w:t>部门产出质量提升及达到标准，支撑材料待进一步收集整理</w:t>
      </w:r>
      <w:r>
        <w:rPr>
          <w:rFonts w:hint="eastAsia" w:ascii="仿宋_GB2312" w:hAnsi="仿宋_GB2312" w:eastAsia="仿宋_GB2312" w:cs="仿宋_GB2312"/>
          <w:sz w:val="32"/>
          <w:szCs w:val="32"/>
          <w:lang w:val="en-US" w:eastAsia="zh-CN"/>
        </w:rPr>
        <w:t>≥20篇。</w:t>
      </w:r>
    </w:p>
    <w:p>
      <w:pPr>
        <w:keepNext w:val="0"/>
        <w:keepLines w:val="0"/>
        <w:pageBreakBefore w:val="0"/>
        <w:numPr>
          <w:ilvl w:val="0"/>
          <w:numId w:val="0"/>
        </w:numPr>
        <w:kinsoku/>
        <w:wordWrap/>
        <w:overflowPunct/>
        <w:topLinePunct w:val="0"/>
        <w:autoSpaceDE/>
        <w:autoSpaceDN/>
        <w:bidi w:val="0"/>
        <w:adjustRightInd/>
        <w:spacing w:line="560" w:lineRule="exact"/>
        <w:ind w:firstLine="640" w:firstLineChars="200"/>
        <w:textAlignment w:val="auto"/>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kern w:val="2"/>
          <w:sz w:val="32"/>
          <w:szCs w:val="32"/>
          <w:lang w:val="en-US" w:eastAsia="zh-CN" w:bidi="ar-SA"/>
        </w:rPr>
        <w:t>（6）</w:t>
      </w:r>
      <w:r>
        <w:rPr>
          <w:rFonts w:hint="default" w:ascii="仿宋_GB2312" w:hAnsi="仿宋_GB2312" w:eastAsia="仿宋_GB2312" w:cs="仿宋_GB2312"/>
          <w:sz w:val="32"/>
          <w:szCs w:val="32"/>
        </w:rPr>
        <w:t>12月底前完成各项计划工作目标</w:t>
      </w:r>
      <w:r>
        <w:rPr>
          <w:rFonts w:hint="eastAsia" w:ascii="仿宋_GB2312" w:hAnsi="仿宋_GB2312" w:eastAsia="仿宋_GB2312" w:cs="仿宋_GB2312"/>
          <w:sz w:val="32"/>
          <w:szCs w:val="32"/>
          <w:lang w:val="en-US" w:eastAsia="zh-CN"/>
        </w:rPr>
        <w:t>≤12月。</w:t>
      </w:r>
    </w:p>
    <w:p>
      <w:pPr>
        <w:keepNext w:val="0"/>
        <w:keepLines w:val="0"/>
        <w:pageBreakBefore w:val="0"/>
        <w:numPr>
          <w:ilvl w:val="0"/>
          <w:numId w:val="0"/>
        </w:numPr>
        <w:kinsoku/>
        <w:wordWrap/>
        <w:overflowPunct/>
        <w:topLinePunct w:val="0"/>
        <w:autoSpaceDE/>
        <w:autoSpaceDN/>
        <w:bidi w:val="0"/>
        <w:adjustRightInd/>
        <w:spacing w:line="560" w:lineRule="exact"/>
        <w:ind w:firstLine="640" w:firstLineChars="200"/>
        <w:textAlignment w:val="auto"/>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kern w:val="2"/>
          <w:sz w:val="32"/>
          <w:szCs w:val="32"/>
          <w:lang w:val="en-US" w:eastAsia="zh-CN" w:bidi="ar-SA"/>
        </w:rPr>
        <w:t>（</w:t>
      </w:r>
      <w:r>
        <w:rPr>
          <w:rFonts w:hint="eastAsia" w:ascii="仿宋_GB2312" w:hAnsi="仿宋_GB2312" w:eastAsia="仿宋_GB2312" w:cs="仿宋_GB2312"/>
          <w:kern w:val="2"/>
          <w:sz w:val="32"/>
          <w:szCs w:val="32"/>
          <w:lang w:val="en-US" w:eastAsia="zh-CN" w:bidi="ar-SA"/>
        </w:rPr>
        <w:t>7</w:t>
      </w:r>
      <w:r>
        <w:rPr>
          <w:rFonts w:hint="default" w:ascii="仿宋_GB2312" w:hAnsi="仿宋_GB2312" w:eastAsia="仿宋_GB2312" w:cs="仿宋_GB2312"/>
          <w:kern w:val="2"/>
          <w:sz w:val="32"/>
          <w:szCs w:val="32"/>
          <w:lang w:val="en-US" w:eastAsia="zh-CN" w:bidi="ar-SA"/>
        </w:rPr>
        <w:t>）</w:t>
      </w:r>
      <w:r>
        <w:rPr>
          <w:rFonts w:hint="default" w:ascii="仿宋_GB2312" w:hAnsi="仿宋_GB2312" w:eastAsia="仿宋_GB2312" w:cs="仿宋_GB2312"/>
          <w:sz w:val="32"/>
          <w:szCs w:val="32"/>
        </w:rPr>
        <w:t>年度预算实际执行</w:t>
      </w:r>
      <w:r>
        <w:rPr>
          <w:rFonts w:hint="eastAsia" w:ascii="仿宋_GB2312" w:hAnsi="仿宋_GB2312" w:eastAsia="仿宋_GB2312" w:cs="仿宋_GB2312"/>
          <w:sz w:val="32"/>
          <w:szCs w:val="32"/>
          <w:lang w:val="en-US" w:eastAsia="zh-CN"/>
        </w:rPr>
        <w:t>≤5434.317112万元。</w:t>
      </w:r>
    </w:p>
    <w:p>
      <w:pPr>
        <w:keepNext w:val="0"/>
        <w:keepLines w:val="0"/>
        <w:pageBreakBefore w:val="0"/>
        <w:numPr>
          <w:ilvl w:val="0"/>
          <w:numId w:val="0"/>
        </w:numPr>
        <w:kinsoku/>
        <w:wordWrap/>
        <w:overflowPunct/>
        <w:topLinePunct w:val="0"/>
        <w:autoSpaceDE/>
        <w:autoSpaceDN/>
        <w:bidi w:val="0"/>
        <w:adjustRightInd/>
        <w:spacing w:line="560" w:lineRule="exact"/>
        <w:ind w:firstLine="640" w:firstLineChars="200"/>
        <w:textAlignment w:val="auto"/>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kern w:val="2"/>
          <w:sz w:val="32"/>
          <w:szCs w:val="32"/>
          <w:lang w:val="en-US" w:eastAsia="zh-CN" w:bidi="ar-SA"/>
        </w:rPr>
        <w:t>（</w:t>
      </w:r>
      <w:r>
        <w:rPr>
          <w:rFonts w:hint="eastAsia" w:ascii="仿宋_GB2312" w:hAnsi="仿宋_GB2312" w:eastAsia="仿宋_GB2312" w:cs="仿宋_GB2312"/>
          <w:kern w:val="2"/>
          <w:sz w:val="32"/>
          <w:szCs w:val="32"/>
          <w:lang w:val="en-US" w:eastAsia="zh-CN" w:bidi="ar-SA"/>
        </w:rPr>
        <w:t>8）北京市乡村空间高价值利用与乡村休闲旅游高质量发展预算控制数</w:t>
      </w:r>
      <w:r>
        <w:rPr>
          <w:rFonts w:hint="eastAsia" w:ascii="仿宋_GB2312" w:hAnsi="仿宋_GB2312" w:eastAsia="仿宋_GB2312" w:cs="仿宋_GB2312"/>
          <w:sz w:val="32"/>
          <w:szCs w:val="32"/>
          <w:lang w:val="en-US" w:eastAsia="zh-CN"/>
        </w:rPr>
        <w:t>≤94.604万元。</w:t>
      </w:r>
    </w:p>
    <w:p>
      <w:pPr>
        <w:keepNext w:val="0"/>
        <w:keepLines w:val="0"/>
        <w:pageBreakBefore w:val="0"/>
        <w:numPr>
          <w:ilvl w:val="0"/>
          <w:numId w:val="0"/>
        </w:numPr>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kern w:val="2"/>
          <w:sz w:val="32"/>
          <w:szCs w:val="32"/>
          <w:lang w:val="en-US" w:eastAsia="zh-CN" w:bidi="ar-SA"/>
        </w:rPr>
        <w:t>（9）北京农村经济月刊和发展报告预算控制数</w:t>
      </w:r>
      <w:r>
        <w:rPr>
          <w:rFonts w:hint="eastAsia" w:ascii="仿宋_GB2312" w:hAnsi="仿宋_GB2312" w:eastAsia="仿宋_GB2312" w:cs="仿宋_GB2312"/>
          <w:sz w:val="32"/>
          <w:szCs w:val="32"/>
          <w:lang w:val="en-US" w:eastAsia="zh-CN"/>
        </w:rPr>
        <w:t>≤116.3066万元。</w:t>
      </w:r>
    </w:p>
    <w:p>
      <w:pPr>
        <w:keepNext w:val="0"/>
        <w:keepLines w:val="0"/>
        <w:pageBreakBefore w:val="0"/>
        <w:numPr>
          <w:ilvl w:val="0"/>
          <w:numId w:val="0"/>
        </w:numPr>
        <w:kinsoku/>
        <w:wordWrap/>
        <w:overflowPunct/>
        <w:topLinePunct w:val="0"/>
        <w:autoSpaceDE/>
        <w:autoSpaceDN/>
        <w:bidi w:val="0"/>
        <w:adjustRightInd/>
        <w:spacing w:line="560" w:lineRule="exact"/>
        <w:ind w:firstLine="640" w:firstLineChars="200"/>
        <w:textAlignment w:val="auto"/>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kern w:val="2"/>
          <w:sz w:val="32"/>
          <w:szCs w:val="32"/>
          <w:lang w:val="en-US" w:eastAsia="zh-CN" w:bidi="ar-SA"/>
        </w:rPr>
        <w:t>（1</w:t>
      </w:r>
      <w:r>
        <w:rPr>
          <w:rFonts w:hint="eastAsia" w:ascii="仿宋_GB2312" w:hAnsi="仿宋_GB2312" w:eastAsia="仿宋_GB2312" w:cs="仿宋_GB2312"/>
          <w:kern w:val="2"/>
          <w:sz w:val="32"/>
          <w:szCs w:val="32"/>
          <w:lang w:val="en-US" w:eastAsia="zh-CN" w:bidi="ar-SA"/>
        </w:rPr>
        <w:t>0</w:t>
      </w:r>
      <w:r>
        <w:rPr>
          <w:rFonts w:hint="default" w:ascii="仿宋_GB2312" w:hAnsi="仿宋_GB2312" w:eastAsia="仿宋_GB2312" w:cs="仿宋_GB2312"/>
          <w:kern w:val="2"/>
          <w:sz w:val="32"/>
          <w:szCs w:val="32"/>
          <w:lang w:val="en-US" w:eastAsia="zh-CN" w:bidi="ar-SA"/>
        </w:rPr>
        <w:t>）北京市乡村振兴专家咨询委员会专项经费预算控制数</w:t>
      </w:r>
      <w:r>
        <w:rPr>
          <w:rFonts w:hint="eastAsia" w:ascii="仿宋_GB2312" w:hAnsi="仿宋_GB2312" w:eastAsia="仿宋_GB2312" w:cs="仿宋_GB2312"/>
          <w:sz w:val="32"/>
          <w:szCs w:val="32"/>
          <w:lang w:val="en-US" w:eastAsia="zh-CN"/>
        </w:rPr>
        <w:t>≤619.895万元</w:t>
      </w:r>
      <w:r>
        <w:rPr>
          <w:rFonts w:hint="default" w:ascii="仿宋_GB2312" w:hAnsi="仿宋_GB2312" w:eastAsia="仿宋_GB2312" w:cs="仿宋_GB2312"/>
          <w:sz w:val="32"/>
          <w:szCs w:val="32"/>
        </w:rPr>
        <w:t>。</w:t>
      </w:r>
    </w:p>
    <w:p>
      <w:pPr>
        <w:keepNext w:val="0"/>
        <w:keepLines w:val="0"/>
        <w:pageBreakBefore w:val="0"/>
        <w:numPr>
          <w:ilvl w:val="0"/>
          <w:numId w:val="0"/>
        </w:numPr>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kern w:val="2"/>
          <w:sz w:val="32"/>
          <w:szCs w:val="32"/>
          <w:lang w:val="en-US" w:eastAsia="zh-CN" w:bidi="ar-SA"/>
        </w:rPr>
        <w:t>（11）北京郊区100个村集体经济运行状况跟踪监测项目预算控制数</w:t>
      </w:r>
      <w:r>
        <w:rPr>
          <w:rFonts w:hint="eastAsia" w:ascii="仿宋_GB2312" w:hAnsi="仿宋_GB2312" w:eastAsia="仿宋_GB2312" w:cs="仿宋_GB2312"/>
          <w:sz w:val="32"/>
          <w:szCs w:val="32"/>
          <w:lang w:val="en-US" w:eastAsia="zh-CN"/>
        </w:rPr>
        <w:t>≤159.69万元。</w:t>
      </w:r>
    </w:p>
    <w:p>
      <w:pPr>
        <w:keepNext w:val="0"/>
        <w:keepLines w:val="0"/>
        <w:pageBreakBefore w:val="0"/>
        <w:numPr>
          <w:ilvl w:val="0"/>
          <w:numId w:val="0"/>
        </w:numPr>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default" w:ascii="仿宋_GB2312" w:hAnsi="仿宋_GB2312" w:eastAsia="仿宋_GB2312" w:cs="仿宋_GB2312"/>
          <w:kern w:val="2"/>
          <w:sz w:val="32"/>
          <w:szCs w:val="32"/>
          <w:lang w:val="en-US" w:eastAsia="zh-CN" w:bidi="ar-SA"/>
        </w:rPr>
        <w:t>（</w:t>
      </w:r>
      <w:r>
        <w:rPr>
          <w:rFonts w:hint="eastAsia" w:ascii="仿宋_GB2312" w:hAnsi="仿宋_GB2312" w:eastAsia="仿宋_GB2312" w:cs="仿宋_GB2312"/>
          <w:kern w:val="2"/>
          <w:sz w:val="32"/>
          <w:szCs w:val="32"/>
          <w:lang w:val="en-US" w:eastAsia="zh-CN" w:bidi="ar-SA"/>
        </w:rPr>
        <w:t>12</w:t>
      </w:r>
      <w:r>
        <w:rPr>
          <w:rFonts w:hint="default" w:ascii="仿宋_GB2312" w:hAnsi="仿宋_GB2312" w:eastAsia="仿宋_GB2312" w:cs="仿宋_GB2312"/>
          <w:kern w:val="2"/>
          <w:sz w:val="32"/>
          <w:szCs w:val="32"/>
          <w:lang w:val="en-US" w:eastAsia="zh-CN" w:bidi="ar-SA"/>
        </w:rPr>
        <w:t>）</w:t>
      </w:r>
      <w:r>
        <w:rPr>
          <w:rFonts w:hint="default" w:ascii="仿宋_GB2312" w:hAnsi="仿宋_GB2312" w:eastAsia="仿宋_GB2312" w:cs="仿宋_GB2312"/>
          <w:sz w:val="32"/>
          <w:szCs w:val="32"/>
        </w:rPr>
        <w:t>研究成果采纳率</w:t>
      </w:r>
      <w:r>
        <w:rPr>
          <w:rFonts w:hint="eastAsia" w:ascii="仿宋_GB2312" w:hAnsi="仿宋_GB2312" w:eastAsia="仿宋_GB2312" w:cs="仿宋_GB2312"/>
          <w:sz w:val="32"/>
          <w:szCs w:val="32"/>
          <w:lang w:val="en-US" w:eastAsia="zh-CN"/>
        </w:rPr>
        <w:t>≥60%。</w:t>
      </w:r>
    </w:p>
    <w:p>
      <w:pPr>
        <w:keepNext w:val="0"/>
        <w:keepLines w:val="0"/>
        <w:pageBreakBefore w:val="0"/>
        <w:numPr>
          <w:ilvl w:val="0"/>
          <w:numId w:val="0"/>
        </w:numPr>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（13）为北京市率先基本实现农业农村现代化提供基础支撑达到优（为北京市率先基本实现农业农村现代化提供基础支撑）。</w:t>
      </w:r>
    </w:p>
    <w:p>
      <w:pPr>
        <w:keepNext w:val="0"/>
        <w:keepLines w:val="0"/>
        <w:pageBreakBefore w:val="0"/>
        <w:numPr>
          <w:ilvl w:val="0"/>
          <w:numId w:val="0"/>
        </w:numPr>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（14）对乡村不同类型新产业新业态发展进行研究，为政策制定提供依据达到优（政策依据提供效果好）。</w:t>
      </w:r>
    </w:p>
    <w:p>
      <w:pPr>
        <w:keepNext w:val="0"/>
        <w:keepLines w:val="0"/>
        <w:pageBreakBefore w:val="0"/>
        <w:numPr>
          <w:ilvl w:val="0"/>
          <w:numId w:val="0"/>
        </w:numPr>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（15）探索开展“三统筹”试验示范工作，打造京郊现代农业产业科技服务中心与现代农业产业示范基地的新样板达到优（示范样板效果好）。</w:t>
      </w:r>
    </w:p>
    <w:p>
      <w:pPr>
        <w:keepNext w:val="0"/>
        <w:keepLines w:val="0"/>
        <w:pageBreakBefore w:val="0"/>
        <w:numPr>
          <w:ilvl w:val="0"/>
          <w:numId w:val="0"/>
        </w:numPr>
        <w:kinsoku/>
        <w:wordWrap/>
        <w:overflowPunct/>
        <w:topLinePunct w:val="0"/>
        <w:autoSpaceDE/>
        <w:autoSpaceDN/>
        <w:bidi w:val="0"/>
        <w:adjustRightInd/>
        <w:spacing w:line="560" w:lineRule="exact"/>
        <w:ind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（16）构建百村千户监测点数据库（案例库）及数据采集平台达到优（数据采集平台经济效果好）。</w:t>
      </w:r>
    </w:p>
    <w:p>
      <w:pPr>
        <w:keepNext w:val="0"/>
        <w:keepLines w:val="0"/>
        <w:pageBreakBefore w:val="0"/>
        <w:numPr>
          <w:ilvl w:val="0"/>
          <w:numId w:val="0"/>
        </w:numPr>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（17）总结典型案例，提炼成功经验，为后续政策制定提供参考依据达到优（长期提供政策依据）。</w:t>
      </w:r>
    </w:p>
    <w:p>
      <w:pPr>
        <w:keepNext w:val="0"/>
        <w:keepLines w:val="0"/>
        <w:pageBreakBefore w:val="0"/>
        <w:numPr>
          <w:ilvl w:val="0"/>
          <w:numId w:val="0"/>
        </w:numPr>
        <w:kinsoku/>
        <w:wordWrap/>
        <w:overflowPunct/>
        <w:topLinePunct w:val="0"/>
        <w:autoSpaceDE/>
        <w:autoSpaceDN/>
        <w:bidi w:val="0"/>
        <w:adjustRightInd/>
        <w:spacing w:line="560" w:lineRule="exact"/>
        <w:ind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（18）单位职工满意度≥80%。</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0"/>
        <w:rPr>
          <w:rFonts w:hint="eastAsia" w:ascii="黑体" w:hAnsi="黑体" w:eastAsia="黑体" w:cs="黑体"/>
          <w:color w:val="000000"/>
          <w:kern w:val="0"/>
          <w:sz w:val="32"/>
          <w:szCs w:val="32"/>
        </w:rPr>
      </w:pPr>
      <w:r>
        <w:rPr>
          <w:rFonts w:hint="eastAsia" w:ascii="黑体" w:hAnsi="黑体" w:eastAsia="黑体" w:cs="黑体"/>
          <w:color w:val="000000"/>
          <w:kern w:val="0"/>
          <w:sz w:val="32"/>
          <w:szCs w:val="32"/>
        </w:rPr>
        <w:t>二、当年预算执行情况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Cs/>
          <w:color w:val="auto"/>
          <w:kern w:val="0"/>
          <w:sz w:val="32"/>
          <w:szCs w:val="28"/>
          <w:highlight w:val="yellow"/>
        </w:rPr>
      </w:pPr>
      <w:bookmarkStart w:id="0" w:name="_Hlk103972295"/>
      <w:r>
        <w:rPr>
          <w:rFonts w:hint="eastAsia" w:ascii="仿宋_GB2312" w:hAnsi="仿宋_GB2312" w:eastAsia="仿宋_GB2312" w:cs="仿宋_GB2312"/>
          <w:bCs/>
          <w:kern w:val="0"/>
          <w:sz w:val="32"/>
          <w:szCs w:val="28"/>
          <w:highlight w:val="none"/>
        </w:rPr>
        <w:t>202</w:t>
      </w:r>
      <w:r>
        <w:rPr>
          <w:rFonts w:hint="eastAsia" w:ascii="仿宋_GB2312" w:hAnsi="仿宋_GB2312" w:eastAsia="仿宋_GB2312" w:cs="仿宋_GB2312"/>
          <w:bCs/>
          <w:kern w:val="0"/>
          <w:sz w:val="32"/>
          <w:szCs w:val="28"/>
          <w:highlight w:val="none"/>
          <w:lang w:val="en-US" w:eastAsia="zh-CN"/>
        </w:rPr>
        <w:t>4</w:t>
      </w:r>
      <w:r>
        <w:rPr>
          <w:rFonts w:hint="eastAsia" w:ascii="仿宋_GB2312" w:hAnsi="仿宋_GB2312" w:eastAsia="仿宋_GB2312" w:cs="仿宋_GB2312"/>
          <w:bCs/>
          <w:kern w:val="0"/>
          <w:sz w:val="32"/>
          <w:szCs w:val="28"/>
          <w:highlight w:val="none"/>
        </w:rPr>
        <w:t>年全年预算5,573.01万元</w:t>
      </w:r>
      <w:bookmarkEnd w:id="0"/>
      <w:bookmarkStart w:id="1" w:name="_Hlk103972234"/>
      <w:r>
        <w:rPr>
          <w:rFonts w:hint="eastAsia" w:ascii="仿宋_GB2312" w:hAnsi="仿宋_GB2312" w:eastAsia="仿宋_GB2312" w:cs="仿宋_GB2312"/>
          <w:bCs/>
          <w:kern w:val="0"/>
          <w:sz w:val="32"/>
          <w:szCs w:val="28"/>
          <w:highlight w:val="none"/>
          <w:lang w:eastAsia="zh-CN"/>
        </w:rPr>
        <w:t>，</w:t>
      </w:r>
      <w:r>
        <w:rPr>
          <w:rFonts w:hint="eastAsia" w:ascii="仿宋_GB2312" w:hAnsi="仿宋_GB2312" w:eastAsia="仿宋_GB2312" w:cs="仿宋_GB2312"/>
          <w:bCs/>
          <w:color w:val="auto"/>
          <w:kern w:val="0"/>
          <w:sz w:val="32"/>
          <w:szCs w:val="28"/>
          <w:highlight w:val="none"/>
        </w:rPr>
        <w:t>资金总体支出4,961.52万元，其中，基本支出3,173.67万元，项目支出1,787.86万元。</w:t>
      </w:r>
      <w:bookmarkEnd w:id="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0"/>
        <w:rPr>
          <w:rFonts w:hint="eastAsia" w:ascii="黑体" w:hAnsi="黑体" w:eastAsia="黑体" w:cs="黑体"/>
          <w:color w:val="000000"/>
          <w:kern w:val="0"/>
          <w:sz w:val="32"/>
          <w:szCs w:val="32"/>
        </w:rPr>
      </w:pPr>
      <w:r>
        <w:rPr>
          <w:rFonts w:hint="eastAsia" w:ascii="黑体" w:hAnsi="黑体" w:eastAsia="黑体" w:cs="黑体"/>
          <w:color w:val="000000"/>
          <w:kern w:val="0"/>
          <w:sz w:val="32"/>
          <w:szCs w:val="32"/>
        </w:rPr>
        <w:t>三、整体绩效目标实现情况</w:t>
      </w:r>
    </w:p>
    <w:p>
      <w:pPr>
        <w:widowControl/>
        <w:numPr>
          <w:ilvl w:val="0"/>
          <w:numId w:val="0"/>
        </w:numPr>
        <w:spacing w:line="240" w:lineRule="auto"/>
        <w:ind w:left="0" w:leftChars="0" w:firstLine="640" w:firstLineChars="200"/>
        <w:outlineLvl w:val="9"/>
        <w:rPr>
          <w:rFonts w:hint="eastAsia" w:ascii="楷体_GB2312" w:hAnsi="Calibri" w:eastAsia="楷体_GB2312"/>
          <w:b w:val="0"/>
          <w:bCs w:val="0"/>
          <w:sz w:val="32"/>
          <w:szCs w:val="32"/>
        </w:rPr>
      </w:pPr>
      <w:r>
        <w:rPr>
          <w:rFonts w:hint="eastAsia" w:ascii="楷体_GB2312" w:hAnsi="Calibri" w:eastAsia="楷体_GB2312"/>
          <w:b w:val="0"/>
          <w:bCs w:val="0"/>
          <w:sz w:val="32"/>
          <w:szCs w:val="32"/>
        </w:rPr>
        <w:t>（一）产出完成情况分析</w:t>
      </w:r>
    </w:p>
    <w:p>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outlineLvl w:val="2"/>
        <w:rPr>
          <w:rFonts w:hint="eastAsia" w:ascii="仿宋_GB2312" w:hAnsi="仿宋_GB2312" w:eastAsia="仿宋_GB2312" w:cs="仿宋_GB2312"/>
          <w:b w:val="0"/>
          <w:bCs w:val="0"/>
          <w:color w:val="auto"/>
          <w:kern w:val="2"/>
          <w:sz w:val="32"/>
          <w:szCs w:val="32"/>
        </w:rPr>
      </w:pPr>
      <w:r>
        <w:rPr>
          <w:rFonts w:hint="eastAsia" w:ascii="仿宋_GB2312" w:hAnsi="仿宋_GB2312" w:eastAsia="仿宋_GB2312" w:cs="仿宋_GB2312"/>
          <w:b w:val="0"/>
          <w:bCs w:val="0"/>
          <w:color w:val="auto"/>
          <w:kern w:val="2"/>
          <w:sz w:val="32"/>
          <w:szCs w:val="32"/>
        </w:rPr>
        <w:t>1.产出数量</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bCs w:val="0"/>
          <w:color w:val="000000"/>
          <w:kern w:val="0"/>
          <w:sz w:val="32"/>
          <w:szCs w:val="32"/>
        </w:rPr>
      </w:pPr>
      <w:r>
        <w:rPr>
          <w:rFonts w:hint="eastAsia" w:ascii="仿宋_GB2312" w:hAnsi="仿宋_GB2312" w:eastAsia="仿宋_GB2312" w:cs="仿宋_GB2312"/>
          <w:bCs w:val="0"/>
          <w:color w:val="000000"/>
          <w:kern w:val="0"/>
          <w:sz w:val="32"/>
          <w:szCs w:val="32"/>
        </w:rPr>
        <w:t>（1）</w:t>
      </w:r>
      <w:r>
        <w:rPr>
          <w:rFonts w:hint="eastAsia" w:ascii="仿宋_GB2312" w:hAnsi="仿宋_GB2312" w:eastAsia="仿宋_GB2312" w:cs="仿宋_GB2312"/>
          <w:color w:val="000000"/>
          <w:kern w:val="0"/>
          <w:sz w:val="32"/>
          <w:szCs w:val="32"/>
        </w:rPr>
        <w:t>发展及评价报告、史志鉴刊等各项工作协同推进。全年编发内刊《调研成果交流》88期、《调查研究报告》60期、《农研决策参考》6期、新改版的《农研参考》7期，其中有4期《农研参考》获得有关市领导肯定性批示</w:t>
      </w:r>
      <w:r>
        <w:rPr>
          <w:rFonts w:hint="eastAsia" w:ascii="仿宋_GB2312" w:hAnsi="仿宋_GB2312" w:eastAsia="仿宋_GB2312" w:cs="仿宋_GB2312"/>
          <w:color w:val="000000"/>
          <w:kern w:val="0"/>
          <w:sz w:val="32"/>
          <w:szCs w:val="32"/>
          <w:lang w:eastAsia="zh-CN"/>
        </w:rPr>
        <w:t>。</w:t>
      </w:r>
      <w:r>
        <w:rPr>
          <w:rFonts w:hint="eastAsia" w:ascii="仿宋_GB2312" w:hAnsi="仿宋_GB2312" w:eastAsia="仿宋_GB2312" w:cs="仿宋_GB2312"/>
          <w:color w:val="000000"/>
          <w:kern w:val="0"/>
          <w:sz w:val="32"/>
          <w:szCs w:val="32"/>
        </w:rPr>
        <w:t>《北京农村经济》杂志增设“百千工程”“农村改革”“当代农史”专栏，全年编发12期，发表文章381篇，逾120万字。参与编纂《北京市全面小康志》《北京年鉴》，出版《北京农村年鉴2023》《北京乡村振兴研究报告2023》《北京市农村经济发展报告2023》《北京郊区党建优秀征文集》等五部著作。</w:t>
      </w:r>
    </w:p>
    <w:p>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outlineLvl w:val="9"/>
        <w:rPr>
          <w:rFonts w:hint="eastAsia" w:ascii="仿宋_GB2312" w:hAnsi="仿宋_GB2312" w:eastAsia="仿宋_GB2312" w:cs="仿宋_GB2312"/>
          <w:color w:val="000000"/>
          <w:kern w:val="0"/>
          <w:sz w:val="32"/>
          <w:szCs w:val="32"/>
          <w:lang w:val="en-US" w:eastAsia="zh-CN"/>
        </w:rPr>
      </w:pPr>
      <w:r>
        <w:rPr>
          <w:rFonts w:hint="eastAsia" w:ascii="仿宋_GB2312" w:hAnsi="仿宋_GB2312" w:eastAsia="仿宋_GB2312" w:cs="仿宋_GB2312"/>
          <w:color w:val="000000"/>
          <w:kern w:val="0"/>
          <w:sz w:val="32"/>
          <w:szCs w:val="32"/>
          <w:lang w:val="en-US" w:eastAsia="zh-CN"/>
        </w:rPr>
        <w:t>（2）</w:t>
      </w:r>
      <w:r>
        <w:rPr>
          <w:rFonts w:hint="eastAsia" w:ascii="仿宋_GB2312" w:hAnsi="仿宋_GB2312" w:eastAsia="仿宋_GB2312" w:cs="仿宋_GB2312"/>
          <w:color w:val="000000"/>
          <w:kern w:val="0"/>
          <w:sz w:val="32"/>
          <w:szCs w:val="32"/>
        </w:rPr>
        <w:t>以“新工程”为抓手，服务“百千工程”效果显著</w:t>
      </w:r>
      <w:r>
        <w:rPr>
          <w:rFonts w:hint="eastAsia" w:ascii="仿宋_GB2312" w:hAnsi="仿宋_GB2312" w:eastAsia="仿宋_GB2312" w:cs="仿宋_GB2312"/>
          <w:color w:val="000000"/>
          <w:kern w:val="0"/>
          <w:sz w:val="32"/>
          <w:szCs w:val="32"/>
          <w:lang w:eastAsia="zh-CN"/>
        </w:rPr>
        <w:t>，</w:t>
      </w:r>
      <w:r>
        <w:rPr>
          <w:rFonts w:hint="eastAsia" w:ascii="仿宋_GB2312" w:hAnsi="仿宋_GB2312" w:eastAsia="仿宋_GB2312" w:cs="仿宋_GB2312"/>
          <w:color w:val="000000"/>
          <w:kern w:val="0"/>
          <w:sz w:val="32"/>
          <w:szCs w:val="32"/>
        </w:rPr>
        <w:t>形成“1+2+13+26”系列成果。设立重大调研《北京市“百千工程”乡村振兴示范创建调查研究》，以总报告为基础，确定乡村产业联村带农路径、乡村建设与乡村治理互促机制、示范创建典型案例3项子课题，最终形成1篇总报告、2篇子报告、13篇示范片区报告和26篇考察报告的系列成果。</w:t>
      </w:r>
      <w:r>
        <w:rPr>
          <w:rFonts w:hint="eastAsia" w:ascii="仿宋_GB2312" w:hAnsi="仿宋_GB2312" w:eastAsia="仿宋_GB2312" w:cs="仿宋_GB2312"/>
          <w:color w:val="auto"/>
          <w:kern w:val="0"/>
          <w:sz w:val="32"/>
          <w:szCs w:val="32"/>
          <w:lang w:val="en-US" w:eastAsia="zh-CN" w:bidi="ar-SA"/>
        </w:rPr>
        <w:t>深度参与“百千工程”乡村振兴示范村创建工作，协助委局评议示范片区（村）规划方案，形成片区方案意见15份、示范片区工作亮点总结13份、外省市亮点总结6份。</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color w:val="000000"/>
          <w:kern w:val="0"/>
          <w:sz w:val="32"/>
          <w:szCs w:val="32"/>
          <w:lang w:val="en-US" w:eastAsia="zh-CN"/>
        </w:rPr>
      </w:pPr>
      <w:r>
        <w:rPr>
          <w:rFonts w:hint="eastAsia" w:ascii="仿宋_GB2312" w:hAnsi="仿宋_GB2312" w:eastAsia="仿宋_GB2312" w:cs="仿宋_GB2312"/>
          <w:color w:val="000000"/>
          <w:kern w:val="0"/>
          <w:sz w:val="32"/>
          <w:szCs w:val="32"/>
          <w:lang w:eastAsia="zh-CN"/>
        </w:rPr>
        <w:t>（</w:t>
      </w:r>
      <w:r>
        <w:rPr>
          <w:rFonts w:hint="eastAsia" w:ascii="仿宋_GB2312" w:hAnsi="仿宋_GB2312" w:eastAsia="仿宋_GB2312" w:cs="仿宋_GB2312"/>
          <w:color w:val="000000"/>
          <w:kern w:val="0"/>
          <w:sz w:val="32"/>
          <w:szCs w:val="32"/>
          <w:lang w:val="en-US" w:eastAsia="zh-CN"/>
        </w:rPr>
        <w:t>3）</w:t>
      </w:r>
      <w:r>
        <w:rPr>
          <w:rFonts w:hint="eastAsia" w:ascii="仿宋_GB2312" w:hAnsi="仿宋_GB2312" w:eastAsia="仿宋_GB2312" w:cs="仿宋_GB2312"/>
          <w:color w:val="000000"/>
          <w:kern w:val="0"/>
          <w:sz w:val="32"/>
          <w:szCs w:val="32"/>
        </w:rPr>
        <w:t>依托监测数据完成休闲农业与乡村旅游发展年度报告及市委办公厅5次约稿。委托宣传推介京郊休闲旅游政策、消费信息，推送公众号信息45次360篇，切实推动了休闲农业与乡村旅游发展，获得市领导及社会公众广泛关注。落实京津冀协同发展战略，在市农业农村局领导下，指导北京观光休闲农业行业协会，与天津、河北休闲农业协会联合推出16条乡村休闲旅游线路，打造京津冀乡村休闲旅游品牌。</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b w:val="0"/>
          <w:bCs w:val="0"/>
          <w:color w:val="auto"/>
          <w:kern w:val="2"/>
          <w:sz w:val="32"/>
          <w:szCs w:val="32"/>
          <w:highlight w:val="none"/>
          <w:lang w:val="en-US" w:eastAsia="zh-CN" w:bidi="ar-SA"/>
        </w:rPr>
      </w:pPr>
      <w:r>
        <w:rPr>
          <w:rFonts w:hint="eastAsia" w:ascii="仿宋_GB2312" w:hAnsi="仿宋_GB2312" w:eastAsia="仿宋_GB2312" w:cs="仿宋_GB2312"/>
          <w:color w:val="000000"/>
          <w:kern w:val="0"/>
          <w:sz w:val="32"/>
          <w:szCs w:val="32"/>
          <w:lang w:eastAsia="zh-CN"/>
        </w:rPr>
        <w:t>（</w:t>
      </w:r>
      <w:r>
        <w:rPr>
          <w:rFonts w:hint="eastAsia" w:ascii="仿宋_GB2312" w:hAnsi="仿宋_GB2312" w:eastAsia="仿宋_GB2312" w:cs="仿宋_GB2312"/>
          <w:color w:val="000000"/>
          <w:kern w:val="0"/>
          <w:sz w:val="32"/>
          <w:szCs w:val="32"/>
          <w:lang w:val="en-US" w:eastAsia="zh-CN"/>
        </w:rPr>
        <w:t>4）</w:t>
      </w:r>
      <w:r>
        <w:rPr>
          <w:rFonts w:hint="eastAsia" w:ascii="仿宋_GB2312" w:hAnsi="仿宋_GB2312" w:eastAsia="仿宋_GB2312" w:cs="仿宋_GB2312"/>
          <w:color w:val="000000"/>
          <w:kern w:val="0"/>
          <w:sz w:val="32"/>
          <w:szCs w:val="32"/>
        </w:rPr>
        <w:t>参与5份市级政策文件制定起草，参加市政协农业农村委2项协商议题并做专题建言</w:t>
      </w:r>
      <w:r>
        <w:rPr>
          <w:rFonts w:hint="eastAsia" w:ascii="仿宋_GB2312" w:hAnsi="仿宋_GB2312" w:eastAsia="仿宋_GB2312" w:cs="仿宋_GB2312"/>
          <w:color w:val="000000"/>
          <w:kern w:val="0"/>
          <w:sz w:val="32"/>
          <w:szCs w:val="32"/>
          <w:lang w:eastAsia="zh-CN"/>
        </w:rPr>
        <w:t>；</w:t>
      </w:r>
      <w:r>
        <w:rPr>
          <w:rFonts w:hint="eastAsia" w:ascii="仿宋_GB2312" w:hAnsi="Calibri" w:eastAsia="仿宋_GB2312" w:cs="Times New Roman"/>
          <w:color w:val="auto"/>
          <w:sz w:val="32"/>
          <w:szCs w:val="32"/>
          <w:lang w:eastAsia="zh-CN"/>
        </w:rPr>
        <w:t>配合市农业农村局开展</w:t>
      </w:r>
      <w:r>
        <w:rPr>
          <w:rFonts w:hint="eastAsia" w:ascii="仿宋_GB2312" w:eastAsia="仿宋_GB2312"/>
          <w:color w:val="auto"/>
          <w:sz w:val="32"/>
          <w:szCs w:val="32"/>
          <w:lang w:val="en-US" w:eastAsia="zh-CN"/>
        </w:rPr>
        <w:t>3项</w:t>
      </w:r>
      <w:r>
        <w:rPr>
          <w:rFonts w:hint="eastAsia" w:ascii="仿宋_GB2312" w:hAnsi="Calibri" w:eastAsia="仿宋_GB2312" w:cs="Times New Roman"/>
          <w:color w:val="auto"/>
          <w:sz w:val="32"/>
          <w:szCs w:val="32"/>
        </w:rPr>
        <w:t>专题调研督导</w:t>
      </w:r>
      <w:r>
        <w:rPr>
          <w:rFonts w:hint="eastAsia" w:ascii="仿宋_GB2312" w:hAnsi="Calibri" w:eastAsia="仿宋_GB2312" w:cs="Times New Roman"/>
          <w:color w:val="auto"/>
          <w:sz w:val="32"/>
          <w:szCs w:val="32"/>
          <w:lang w:eastAsia="zh-CN"/>
        </w:rPr>
        <w:t>，部门合作进一步深入</w:t>
      </w:r>
      <w:r>
        <w:rPr>
          <w:rFonts w:hint="eastAsia" w:ascii="仿宋_GB2312" w:eastAsia="仿宋_GB2312"/>
          <w:color w:val="auto"/>
          <w:sz w:val="32"/>
          <w:szCs w:val="32"/>
          <w:lang w:val="en-US" w:eastAsia="zh-CN"/>
        </w:rPr>
        <w:t>。</w:t>
      </w:r>
      <w:r>
        <w:rPr>
          <w:rFonts w:hint="eastAsia" w:ascii="仿宋_GB2312" w:hAnsi="仿宋_GB2312" w:eastAsia="仿宋_GB2312" w:cs="仿宋_GB2312"/>
          <w:sz w:val="32"/>
          <w:szCs w:val="32"/>
          <w:lang w:val="en-US" w:eastAsia="zh-CN"/>
        </w:rPr>
        <w:t>举办、合办、承办</w:t>
      </w:r>
      <w:r>
        <w:rPr>
          <w:rFonts w:hint="eastAsia" w:ascii="仿宋_GB2312" w:hAnsi="仿宋_GB2312" w:eastAsia="仿宋_GB2312" w:cs="仿宋_GB2312"/>
          <w:sz w:val="32"/>
          <w:szCs w:val="32"/>
        </w:rPr>
        <w:t>京台美丽乡村论坛</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color w:val="auto"/>
          <w:kern w:val="2"/>
          <w:sz w:val="32"/>
          <w:szCs w:val="32"/>
          <w:lang w:val="en-US" w:eastAsia="zh-CN" w:bidi="ar-SA"/>
        </w:rPr>
        <w:t>北京艺术乡村博览会“长城脚下我故乡”专题展、</w:t>
      </w:r>
      <w:r>
        <w:rPr>
          <w:rFonts w:hint="eastAsia" w:ascii="仿宋_GB2312" w:hAnsi="仿宋_GB2312" w:eastAsia="仿宋_GB2312" w:cs="仿宋_GB2312"/>
          <w:b w:val="0"/>
          <w:bCs w:val="0"/>
          <w:color w:val="auto"/>
          <w:sz w:val="32"/>
          <w:szCs w:val="32"/>
          <w:highlight w:val="none"/>
          <w:lang w:val="en-US" w:eastAsia="zh-CN"/>
        </w:rPr>
        <w:t>市金融办畅融工程助力乡村振兴投融资专场活动</w:t>
      </w:r>
      <w:r>
        <w:rPr>
          <w:rFonts w:hint="eastAsia" w:ascii="仿宋_GB2312" w:hAnsi="仿宋_GB2312" w:eastAsia="仿宋_GB2312" w:cs="仿宋_GB2312"/>
          <w:color w:val="auto"/>
          <w:kern w:val="2"/>
          <w:sz w:val="32"/>
          <w:szCs w:val="32"/>
          <w:lang w:val="en-US" w:eastAsia="zh-CN" w:bidi="ar-SA"/>
        </w:rPr>
        <w:t>等活动10余场，</w:t>
      </w:r>
      <w:r>
        <w:rPr>
          <w:rFonts w:hint="eastAsia" w:ascii="仿宋_GB2312" w:hAnsi="仿宋_GB2312" w:eastAsia="仿宋_GB2312" w:cs="仿宋_GB2312"/>
          <w:color w:val="auto"/>
          <w:sz w:val="32"/>
          <w:szCs w:val="32"/>
          <w:highlight w:val="none"/>
          <w:lang w:val="en-US" w:eastAsia="zh-CN"/>
        </w:rPr>
        <w:t>全年组织农研智库大讲堂11期。</w:t>
      </w:r>
      <w:r>
        <w:rPr>
          <w:rFonts w:hint="eastAsia" w:ascii="仿宋_GB2312" w:hAnsi="仿宋_GB2312" w:eastAsia="仿宋_GB2312" w:cs="仿宋_GB2312"/>
          <w:b w:val="0"/>
          <w:bCs w:val="0"/>
          <w:color w:val="auto"/>
          <w:kern w:val="2"/>
          <w:sz w:val="32"/>
          <w:szCs w:val="32"/>
          <w:highlight w:val="none"/>
          <w:lang w:val="en-US" w:eastAsia="zh-CN" w:bidi="ar-SA"/>
        </w:rPr>
        <w:t>组织外出考察、参加学术会议共94次。</w:t>
      </w:r>
    </w:p>
    <w:p>
      <w:pPr>
        <w:keepNext w:val="0"/>
        <w:keepLines w:val="0"/>
        <w:pageBreakBefore w:val="0"/>
        <w:kinsoku/>
        <w:wordWrap/>
        <w:overflowPunct/>
        <w:topLinePunct w:val="0"/>
        <w:autoSpaceDE/>
        <w:autoSpaceDN/>
        <w:bidi w:val="0"/>
        <w:adjustRightInd/>
        <w:spacing w:line="560" w:lineRule="exact"/>
        <w:ind w:right="0" w:firstLine="640" w:firstLineChars="200"/>
        <w:textAlignment w:val="auto"/>
        <w:outlineLvl w:val="2"/>
        <w:rPr>
          <w:rFonts w:hint="eastAsia" w:ascii="仿宋_GB2312" w:hAnsi="仿宋_GB2312" w:eastAsia="仿宋_GB2312" w:cs="仿宋_GB2312"/>
          <w:b w:val="0"/>
          <w:bCs w:val="0"/>
          <w:color w:val="auto"/>
          <w:sz w:val="32"/>
          <w:szCs w:val="32"/>
          <w:lang w:eastAsia="zh-CN"/>
        </w:rPr>
      </w:pPr>
      <w:r>
        <w:rPr>
          <w:rFonts w:hint="eastAsia" w:ascii="仿宋_GB2312" w:hAnsi="仿宋_GB2312" w:eastAsia="仿宋_GB2312" w:cs="仿宋_GB2312"/>
          <w:b w:val="0"/>
          <w:bCs w:val="0"/>
          <w:color w:val="auto"/>
          <w:sz w:val="32"/>
          <w:szCs w:val="32"/>
          <w:lang w:eastAsia="zh-CN"/>
        </w:rPr>
        <w:t>2.产出质量</w:t>
      </w:r>
    </w:p>
    <w:p>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outlineLvl w:val="9"/>
        <w:rPr>
          <w:rFonts w:hint="eastAsia" w:ascii="仿宋_GB2312" w:hAnsi="仿宋_GB2312" w:eastAsia="仿宋_GB2312" w:cs="仿宋_GB2312"/>
          <w:bCs w:val="0"/>
          <w:color w:val="000000"/>
          <w:kern w:val="0"/>
          <w:sz w:val="32"/>
          <w:szCs w:val="32"/>
          <w:lang w:val="en-US" w:eastAsia="zh-CN"/>
        </w:rPr>
      </w:pPr>
      <w:r>
        <w:rPr>
          <w:rFonts w:hint="eastAsia" w:ascii="仿宋_GB2312" w:hAnsi="仿宋_GB2312" w:eastAsia="仿宋_GB2312" w:cs="仿宋_GB2312"/>
          <w:bCs w:val="0"/>
          <w:color w:val="000000"/>
          <w:kern w:val="0"/>
          <w:sz w:val="32"/>
          <w:szCs w:val="32"/>
          <w:lang w:eastAsia="zh-CN"/>
        </w:rPr>
        <w:t>（</w:t>
      </w:r>
      <w:r>
        <w:rPr>
          <w:rFonts w:hint="eastAsia" w:ascii="仿宋_GB2312" w:hAnsi="仿宋_GB2312" w:eastAsia="仿宋_GB2312" w:cs="仿宋_GB2312"/>
          <w:bCs w:val="0"/>
          <w:color w:val="000000"/>
          <w:kern w:val="0"/>
          <w:sz w:val="32"/>
          <w:szCs w:val="32"/>
          <w:lang w:val="en-US" w:eastAsia="zh-CN"/>
        </w:rPr>
        <w:t>1）</w:t>
      </w:r>
      <w:r>
        <w:rPr>
          <w:rFonts w:hint="eastAsia" w:ascii="仿宋_GB2312" w:hAnsi="仿宋_GB2312" w:eastAsia="仿宋_GB2312" w:cs="仿宋_GB2312"/>
          <w:color w:val="000000"/>
          <w:kern w:val="0"/>
          <w:sz w:val="32"/>
          <w:szCs w:val="32"/>
        </w:rPr>
        <w:t>市农研中心立足职能定位，全面做好课题研究、试点监测、史志鉴刊、学术交流等各项工作，调研成果呈现量质双升的新局面。全年出版著作5部，获奖16项；公开发表文章30篇，内刊发表文章217篇，分别较上年增长25%、70%；获领导批示30个，其中获省部级及以上领导批示10个，分别较上年增长6.5倍、9倍，是2018年机构改革以来获得批示最多的年度；9篇调研报告、调研类信息被市委、市政府、市人大、市政协刊物采用。</w:t>
      </w:r>
    </w:p>
    <w:p>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outlineLvl w:val="9"/>
        <w:rPr>
          <w:rFonts w:hint="eastAsia" w:ascii="仿宋_GB2312" w:hAnsi="仿宋_GB2312" w:eastAsia="仿宋_GB2312" w:cs="仿宋_GB2312"/>
          <w:bCs w:val="0"/>
          <w:color w:val="000000"/>
          <w:kern w:val="0"/>
          <w:sz w:val="32"/>
          <w:szCs w:val="32"/>
          <w:lang w:val="en-US" w:eastAsia="zh-CN"/>
        </w:rPr>
      </w:pPr>
      <w:r>
        <w:rPr>
          <w:rFonts w:hint="eastAsia" w:ascii="仿宋_GB2312" w:hAnsi="仿宋_GB2312" w:eastAsia="仿宋_GB2312" w:cs="仿宋_GB2312"/>
          <w:bCs w:val="0"/>
          <w:color w:val="000000"/>
          <w:kern w:val="0"/>
          <w:sz w:val="32"/>
          <w:szCs w:val="32"/>
          <w:lang w:eastAsia="zh-CN"/>
        </w:rPr>
        <w:t>（</w:t>
      </w:r>
      <w:r>
        <w:rPr>
          <w:rFonts w:hint="default" w:ascii="仿宋_GB2312" w:hAnsi="仿宋_GB2312" w:eastAsia="仿宋_GB2312" w:cs="仿宋_GB2312"/>
          <w:bCs w:val="0"/>
          <w:color w:val="000000"/>
          <w:kern w:val="0"/>
          <w:sz w:val="32"/>
          <w:szCs w:val="32"/>
          <w:lang w:val="en" w:eastAsia="zh-CN"/>
        </w:rPr>
        <w:t>2</w:t>
      </w:r>
      <w:r>
        <w:rPr>
          <w:rFonts w:hint="eastAsia" w:ascii="仿宋_GB2312" w:hAnsi="仿宋_GB2312" w:eastAsia="仿宋_GB2312" w:cs="仿宋_GB2312"/>
          <w:bCs w:val="0"/>
          <w:color w:val="000000"/>
          <w:kern w:val="0"/>
          <w:sz w:val="32"/>
          <w:szCs w:val="32"/>
          <w:lang w:val="en-US" w:eastAsia="zh-CN"/>
        </w:rPr>
        <w:t>）</w:t>
      </w:r>
      <w:r>
        <w:rPr>
          <w:rFonts w:hint="eastAsia" w:ascii="仿宋_GB2312" w:hAnsi="仿宋_GB2312" w:eastAsia="仿宋_GB2312" w:cs="仿宋_GB2312"/>
          <w:color w:val="000000"/>
          <w:kern w:val="0"/>
          <w:sz w:val="32"/>
          <w:szCs w:val="32"/>
        </w:rPr>
        <w:t>多项研究报告获各级领导批示。其中</w:t>
      </w:r>
      <w:r>
        <w:rPr>
          <w:rFonts w:hint="eastAsia" w:ascii="仿宋_GB2312" w:hAnsi="仿宋_GB2312" w:eastAsia="仿宋_GB2312" w:cs="仿宋_GB2312"/>
          <w:color w:val="000000"/>
          <w:kern w:val="0"/>
          <w:sz w:val="32"/>
          <w:szCs w:val="32"/>
          <w:lang w:val="en-US" w:eastAsia="zh-CN"/>
        </w:rPr>
        <w:t>2篇报告</w:t>
      </w:r>
      <w:r>
        <w:rPr>
          <w:rFonts w:hint="eastAsia" w:ascii="仿宋_GB2312" w:hAnsi="仿宋_GB2312" w:eastAsia="仿宋_GB2312" w:cs="仿宋_GB2312"/>
          <w:color w:val="000000"/>
          <w:kern w:val="0"/>
          <w:sz w:val="32"/>
          <w:szCs w:val="32"/>
        </w:rPr>
        <w:t>获得市委、市政府主要领导批示，3篇报告获得市委分管领导批示，3篇报告获得市政府分管领导批示。</w:t>
      </w:r>
    </w:p>
    <w:p>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outlineLvl w:val="9"/>
        <w:rPr>
          <w:rFonts w:hint="eastAsia" w:ascii="仿宋_GB2312" w:hAnsi="仿宋_GB2312" w:eastAsia="仿宋_GB2312" w:cs="仿宋_GB2312"/>
          <w:bCs w:val="0"/>
          <w:color w:val="000000"/>
          <w:kern w:val="0"/>
          <w:sz w:val="32"/>
          <w:szCs w:val="32"/>
          <w:highlight w:val="none"/>
          <w:lang w:val="en-US" w:eastAsia="zh-CN"/>
        </w:rPr>
      </w:pPr>
      <w:r>
        <w:rPr>
          <w:rFonts w:hint="eastAsia" w:ascii="仿宋_GB2312" w:hAnsi="仿宋_GB2312" w:eastAsia="仿宋_GB2312" w:cs="仿宋_GB2312"/>
          <w:bCs w:val="0"/>
          <w:color w:val="000000"/>
          <w:kern w:val="0"/>
          <w:sz w:val="32"/>
          <w:szCs w:val="32"/>
          <w:highlight w:val="none"/>
          <w:lang w:val="en-US" w:eastAsia="zh-CN"/>
        </w:rPr>
        <w:t>（</w:t>
      </w:r>
      <w:r>
        <w:rPr>
          <w:rFonts w:hint="default" w:ascii="仿宋_GB2312" w:hAnsi="仿宋_GB2312" w:eastAsia="仿宋_GB2312" w:cs="仿宋_GB2312"/>
          <w:bCs w:val="0"/>
          <w:color w:val="000000"/>
          <w:kern w:val="0"/>
          <w:sz w:val="32"/>
          <w:szCs w:val="32"/>
          <w:highlight w:val="none"/>
          <w:lang w:val="en" w:eastAsia="zh-CN"/>
        </w:rPr>
        <w:t>3</w:t>
      </w:r>
      <w:r>
        <w:rPr>
          <w:rFonts w:hint="eastAsia" w:ascii="仿宋_GB2312" w:hAnsi="仿宋_GB2312" w:eastAsia="仿宋_GB2312" w:cs="仿宋_GB2312"/>
          <w:bCs w:val="0"/>
          <w:color w:val="000000"/>
          <w:kern w:val="0"/>
          <w:sz w:val="32"/>
          <w:szCs w:val="32"/>
          <w:highlight w:val="none"/>
          <w:lang w:val="en-US" w:eastAsia="zh-CN"/>
        </w:rPr>
        <w:t>）多项调研成果获重要奖项。《北京市农村集体经济高质量发展研究》等6篇报告荣获全国农业农村政策与改革系统优秀调研成果（1等奖1篇、二等奖3篇、三等奖2篇）。《台湾地区开发“土特产”推动农文旅高质量融合发展研究——对北京的启示与借鉴》荣获2023年度北京市涉台调研课题二等奖。与中国社科院农村发展研究所共同执笔的内参建议《当前亟需提升农村集体经济“统”的层级》荣获2022年度中国社会科学院优秀对策信息奖三等奖。《乡村治理的“五种模式”探析——以顺义区19个镇20个村的典型做法为例》荣获北京市党建研究会2023年度优秀调研成果三等奖。《盘活用好财政资金，促进粮食增产农民增收-北大荒六安农服公司调研报告》荣获2023年全国预算与会计研究会“大兴调查研究、推动财政高质量发展”主题征文三等奖。</w:t>
      </w:r>
    </w:p>
    <w:p>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outlineLvl w:val="9"/>
        <w:rPr>
          <w:rFonts w:hint="eastAsia" w:ascii="仿宋_GB2312" w:hAnsi="仿宋_GB2312" w:eastAsia="仿宋_GB2312" w:cs="仿宋_GB2312"/>
          <w:bCs w:val="0"/>
          <w:color w:val="000000"/>
          <w:kern w:val="0"/>
          <w:sz w:val="32"/>
          <w:szCs w:val="32"/>
          <w:lang w:val="en-US" w:eastAsia="zh-CN"/>
        </w:rPr>
      </w:pPr>
      <w:r>
        <w:rPr>
          <w:rFonts w:hint="eastAsia" w:ascii="仿宋_GB2312" w:hAnsi="仿宋_GB2312" w:eastAsia="仿宋_GB2312" w:cs="仿宋_GB2312"/>
          <w:bCs w:val="0"/>
          <w:color w:val="000000"/>
          <w:kern w:val="0"/>
          <w:sz w:val="32"/>
          <w:szCs w:val="32"/>
          <w:lang w:val="en-US" w:eastAsia="zh-CN"/>
        </w:rPr>
        <w:t>（</w:t>
      </w:r>
      <w:r>
        <w:rPr>
          <w:rFonts w:hint="default" w:ascii="仿宋_GB2312" w:hAnsi="仿宋_GB2312" w:eastAsia="仿宋_GB2312" w:cs="仿宋_GB2312"/>
          <w:bCs w:val="0"/>
          <w:color w:val="000000"/>
          <w:kern w:val="0"/>
          <w:sz w:val="32"/>
          <w:szCs w:val="32"/>
          <w:lang w:val="en" w:eastAsia="zh-CN"/>
        </w:rPr>
        <w:t>4</w:t>
      </w:r>
      <w:r>
        <w:rPr>
          <w:rFonts w:hint="eastAsia" w:ascii="仿宋_GB2312" w:hAnsi="仿宋_GB2312" w:eastAsia="仿宋_GB2312" w:cs="仿宋_GB2312"/>
          <w:bCs w:val="0"/>
          <w:color w:val="000000"/>
          <w:kern w:val="0"/>
          <w:sz w:val="32"/>
          <w:szCs w:val="32"/>
          <w:lang w:val="en-US" w:eastAsia="zh-CN"/>
        </w:rPr>
        <w:t>）</w:t>
      </w:r>
      <w:r>
        <w:rPr>
          <w:rFonts w:hint="eastAsia" w:ascii="仿宋_GB2312" w:hAnsi="仿宋_GB2312" w:eastAsia="仿宋_GB2312" w:cs="仿宋_GB2312"/>
          <w:color w:val="000000"/>
          <w:kern w:val="0"/>
          <w:sz w:val="32"/>
          <w:szCs w:val="32"/>
        </w:rPr>
        <w:t>多项成果转化刊发。《“村改居”后农村集体经济组织须引起高度重视——基于北京市的调查与思考建议》报告报全国人大农业与农村委，为《集体经济组织法》立法提供决策参考。《启动百千工程系列村志和优秀乡村文化志编修工程，防止乡村历史文化遗产流失、淡化、断层的建议》的核心内容，转化为市政协提案。《走出一条具有首都特点的产业振兴之路》《探索“农村金融顾问”模式健全农村金融服务体系》在《农民日报》发表。《构建长效机制激活京郊农民持续增收“新动能”》《进一步完善京郊农民持续增收机制研究》分别在《昨日市情》和《北京调研》刊发。</w:t>
      </w:r>
    </w:p>
    <w:p>
      <w:pPr>
        <w:keepNext w:val="0"/>
        <w:keepLines w:val="0"/>
        <w:pageBreakBefore w:val="0"/>
        <w:kinsoku/>
        <w:wordWrap/>
        <w:overflowPunct/>
        <w:topLinePunct w:val="0"/>
        <w:autoSpaceDE/>
        <w:autoSpaceDN/>
        <w:bidi w:val="0"/>
        <w:adjustRightInd/>
        <w:spacing w:line="560" w:lineRule="exact"/>
        <w:ind w:right="0" w:firstLine="640" w:firstLineChars="200"/>
        <w:textAlignment w:val="auto"/>
        <w:outlineLvl w:val="2"/>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3.产出进度</w:t>
      </w:r>
    </w:p>
    <w:p>
      <w:pPr>
        <w:keepNext w:val="0"/>
        <w:keepLines w:val="0"/>
        <w:pageBreakBefore w:val="0"/>
        <w:numPr>
          <w:ilvl w:val="0"/>
          <w:numId w:val="0"/>
        </w:numPr>
        <w:kinsoku/>
        <w:wordWrap/>
        <w:overflowPunct/>
        <w:topLinePunct w:val="0"/>
        <w:autoSpaceDE/>
        <w:autoSpaceDN/>
        <w:bidi w:val="0"/>
        <w:adjustRightInd/>
        <w:spacing w:line="560" w:lineRule="exact"/>
        <w:ind w:firstLine="640" w:firstLineChars="200"/>
        <w:textAlignment w:val="auto"/>
        <w:outlineLvl w:val="9"/>
        <w:rPr>
          <w:rFonts w:hint="eastAsia" w:ascii="仿宋_GB2312" w:hAnsi="仿宋_GB2312" w:eastAsia="仿宋_GB2312" w:cs="仿宋_GB2312"/>
          <w:color w:val="000000"/>
          <w:kern w:val="0"/>
          <w:sz w:val="32"/>
          <w:szCs w:val="32"/>
          <w:lang w:val="en-US" w:eastAsia="zh-CN"/>
        </w:rPr>
      </w:pPr>
      <w:r>
        <w:rPr>
          <w:rFonts w:hint="eastAsia" w:ascii="仿宋_GB2312" w:hAnsi="仿宋_GB2312" w:eastAsia="仿宋_GB2312" w:cs="仿宋_GB2312"/>
          <w:color w:val="000000"/>
          <w:kern w:val="0"/>
          <w:sz w:val="32"/>
          <w:szCs w:val="32"/>
          <w:lang w:val="en-US" w:eastAsia="zh-CN"/>
        </w:rPr>
        <w:t>市农研中心工作贯穿全年，按照年初预算批复及年中追加调整，不断提升重点工作效率，2024年完成了各项工作，产出进度总体执行较好。</w:t>
      </w:r>
    </w:p>
    <w:p>
      <w:pPr>
        <w:keepNext w:val="0"/>
        <w:keepLines w:val="0"/>
        <w:pageBreakBefore w:val="0"/>
        <w:kinsoku/>
        <w:wordWrap/>
        <w:overflowPunct/>
        <w:topLinePunct w:val="0"/>
        <w:autoSpaceDE/>
        <w:autoSpaceDN/>
        <w:bidi w:val="0"/>
        <w:adjustRightInd/>
        <w:spacing w:line="560" w:lineRule="exact"/>
        <w:ind w:right="0" w:firstLine="640" w:firstLineChars="200"/>
        <w:textAlignment w:val="auto"/>
        <w:outlineLvl w:val="2"/>
        <w:rPr>
          <w:rFonts w:hint="eastAsia" w:ascii="仿宋_GB2312" w:hAnsi="仿宋_GB2312" w:eastAsia="仿宋_GB2312" w:cs="仿宋_GB2312"/>
          <w:b w:val="0"/>
          <w:bCs w:val="0"/>
          <w:color w:val="auto"/>
          <w:sz w:val="32"/>
          <w:szCs w:val="32"/>
          <w:lang w:eastAsia="zh-CN"/>
        </w:rPr>
      </w:pPr>
      <w:r>
        <w:rPr>
          <w:rFonts w:hint="eastAsia" w:ascii="仿宋_GB2312" w:hAnsi="仿宋_GB2312" w:eastAsia="仿宋_GB2312" w:cs="仿宋_GB2312"/>
          <w:b w:val="0"/>
          <w:bCs w:val="0"/>
          <w:color w:val="auto"/>
          <w:sz w:val="32"/>
          <w:szCs w:val="32"/>
          <w:lang w:eastAsia="zh-CN"/>
        </w:rPr>
        <w:t>4.产出成本</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bCs w:val="0"/>
          <w:color w:val="000000"/>
          <w:kern w:val="0"/>
          <w:sz w:val="32"/>
          <w:szCs w:val="32"/>
          <w:highlight w:val="none"/>
        </w:rPr>
      </w:pPr>
      <w:r>
        <w:rPr>
          <w:rFonts w:hint="eastAsia" w:ascii="仿宋_GB2312" w:hAnsi="仿宋_GB2312" w:eastAsia="仿宋_GB2312" w:cs="仿宋_GB2312"/>
          <w:bCs w:val="0"/>
          <w:color w:val="000000"/>
          <w:kern w:val="0"/>
          <w:sz w:val="32"/>
          <w:szCs w:val="32"/>
          <w:highlight w:val="none"/>
        </w:rPr>
        <w:t>202</w:t>
      </w:r>
      <w:r>
        <w:rPr>
          <w:rFonts w:hint="eastAsia" w:ascii="仿宋_GB2312" w:hAnsi="仿宋_GB2312" w:eastAsia="仿宋_GB2312" w:cs="仿宋_GB2312"/>
          <w:bCs w:val="0"/>
          <w:color w:val="000000"/>
          <w:kern w:val="0"/>
          <w:sz w:val="32"/>
          <w:szCs w:val="32"/>
          <w:highlight w:val="none"/>
          <w:lang w:val="en-US" w:eastAsia="zh-CN"/>
        </w:rPr>
        <w:t>4</w:t>
      </w:r>
      <w:r>
        <w:rPr>
          <w:rFonts w:hint="eastAsia" w:ascii="仿宋_GB2312" w:hAnsi="仿宋_GB2312" w:eastAsia="仿宋_GB2312" w:cs="仿宋_GB2312"/>
          <w:bCs w:val="0"/>
          <w:color w:val="000000"/>
          <w:kern w:val="0"/>
          <w:sz w:val="32"/>
          <w:szCs w:val="32"/>
          <w:highlight w:val="none"/>
        </w:rPr>
        <w:t>年</w:t>
      </w:r>
      <w:r>
        <w:rPr>
          <w:rFonts w:hint="eastAsia" w:ascii="仿宋_GB2312" w:hAnsi="仿宋_GB2312" w:eastAsia="仿宋_GB2312" w:cs="仿宋_GB2312"/>
          <w:bCs w:val="0"/>
          <w:color w:val="000000"/>
          <w:kern w:val="0"/>
          <w:sz w:val="32"/>
          <w:szCs w:val="32"/>
          <w:highlight w:val="none"/>
          <w:lang w:val="en-US" w:eastAsia="zh-CN"/>
        </w:rPr>
        <w:t>全年</w:t>
      </w:r>
      <w:r>
        <w:rPr>
          <w:rFonts w:hint="eastAsia" w:ascii="仿宋_GB2312" w:hAnsi="仿宋_GB2312" w:eastAsia="仿宋_GB2312" w:cs="仿宋_GB2312"/>
          <w:bCs w:val="0"/>
          <w:color w:val="000000"/>
          <w:kern w:val="0"/>
          <w:sz w:val="32"/>
          <w:szCs w:val="32"/>
          <w:highlight w:val="none"/>
        </w:rPr>
        <w:t>预算</w:t>
      </w:r>
      <w:r>
        <w:rPr>
          <w:rFonts w:hint="eastAsia" w:ascii="仿宋_GB2312" w:hAnsi="仿宋_GB2312" w:eastAsia="仿宋_GB2312" w:cs="仿宋_GB2312"/>
          <w:bCs w:val="0"/>
          <w:color w:val="000000"/>
          <w:kern w:val="0"/>
          <w:sz w:val="32"/>
          <w:szCs w:val="32"/>
          <w:highlight w:val="none"/>
          <w:lang w:val="en-US" w:eastAsia="zh-CN"/>
        </w:rPr>
        <w:t>数</w:t>
      </w:r>
      <w:r>
        <w:rPr>
          <w:rFonts w:hint="eastAsia" w:ascii="仿宋_GB2312" w:hAnsi="仿宋_GB2312" w:eastAsia="仿宋_GB2312" w:cs="仿宋_GB2312"/>
          <w:color w:val="000000"/>
          <w:kern w:val="0"/>
          <w:sz w:val="32"/>
          <w:szCs w:val="32"/>
          <w:highlight w:val="none"/>
        </w:rPr>
        <w:t>5,573.01</w:t>
      </w:r>
      <w:r>
        <w:rPr>
          <w:rFonts w:hint="eastAsia" w:ascii="仿宋_GB2312" w:hAnsi="仿宋_GB2312" w:eastAsia="仿宋_GB2312" w:cs="仿宋_GB2312"/>
          <w:bCs w:val="0"/>
          <w:color w:val="000000"/>
          <w:kern w:val="0"/>
          <w:sz w:val="32"/>
          <w:szCs w:val="32"/>
          <w:highlight w:val="none"/>
        </w:rPr>
        <w:t>万元，</w:t>
      </w:r>
      <w:r>
        <w:rPr>
          <w:rFonts w:hint="eastAsia" w:ascii="仿宋_GB2312" w:hAnsi="仿宋_GB2312" w:eastAsia="仿宋_GB2312" w:cs="仿宋_GB2312"/>
          <w:color w:val="000000"/>
          <w:kern w:val="0"/>
          <w:sz w:val="32"/>
          <w:szCs w:val="32"/>
          <w:lang w:val="en-US" w:eastAsia="zh-CN"/>
        </w:rPr>
        <w:t>实际预算</w:t>
      </w:r>
      <w:r>
        <w:rPr>
          <w:rFonts w:hint="eastAsia" w:ascii="仿宋_GB2312" w:hAnsi="仿宋_GB2312" w:eastAsia="仿宋_GB2312" w:cs="仿宋_GB2312"/>
          <w:color w:val="000000"/>
          <w:sz w:val="32"/>
          <w:szCs w:val="32"/>
        </w:rPr>
        <w:t>支出</w:t>
      </w:r>
      <w:r>
        <w:rPr>
          <w:rFonts w:hint="eastAsia" w:ascii="仿宋_GB2312" w:hAnsi="仿宋_GB2312" w:eastAsia="仿宋_GB2312" w:cs="仿宋_GB2312"/>
          <w:color w:val="000000"/>
          <w:kern w:val="0"/>
          <w:sz w:val="32"/>
          <w:szCs w:val="32"/>
          <w:highlight w:val="none"/>
        </w:rPr>
        <w:t>4,961.52</w:t>
      </w:r>
      <w:r>
        <w:rPr>
          <w:rFonts w:hint="eastAsia" w:ascii="仿宋_GB2312" w:hAnsi="仿宋_GB2312" w:eastAsia="仿宋_GB2312" w:cs="仿宋_GB2312"/>
          <w:color w:val="000000"/>
          <w:sz w:val="32"/>
          <w:szCs w:val="32"/>
        </w:rPr>
        <w:t>万元。</w:t>
      </w:r>
      <w:r>
        <w:rPr>
          <w:rFonts w:hint="eastAsia" w:ascii="仿宋_GB2312" w:hAnsi="仿宋_GB2312" w:eastAsia="仿宋_GB2312" w:cs="仿宋_GB2312"/>
          <w:color w:val="000000"/>
          <w:kern w:val="0"/>
          <w:sz w:val="32"/>
          <w:szCs w:val="32"/>
          <w:highlight w:val="none"/>
        </w:rPr>
        <w:t>部门整体支出控制在预算</w:t>
      </w:r>
      <w:r>
        <w:rPr>
          <w:rFonts w:hint="eastAsia" w:ascii="仿宋_GB2312" w:hAnsi="仿宋_GB2312" w:eastAsia="仿宋_GB2312" w:cs="仿宋_GB2312"/>
          <w:color w:val="000000"/>
          <w:kern w:val="0"/>
          <w:sz w:val="32"/>
          <w:szCs w:val="32"/>
          <w:highlight w:val="none"/>
          <w:lang w:val="en-US" w:eastAsia="zh-CN"/>
        </w:rPr>
        <w:t>范围</w:t>
      </w:r>
      <w:r>
        <w:rPr>
          <w:rFonts w:hint="eastAsia" w:ascii="仿宋_GB2312" w:hAnsi="仿宋_GB2312" w:eastAsia="仿宋_GB2312" w:cs="仿宋_GB2312"/>
          <w:color w:val="000000"/>
          <w:kern w:val="0"/>
          <w:sz w:val="32"/>
          <w:szCs w:val="32"/>
          <w:highlight w:val="none"/>
        </w:rPr>
        <w:t>内。</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color w:val="000000"/>
          <w:kern w:val="0"/>
          <w:sz w:val="32"/>
          <w:szCs w:val="32"/>
          <w:highlight w:val="none"/>
          <w:lang w:eastAsia="zh-CN"/>
        </w:rPr>
      </w:pPr>
      <w:r>
        <w:rPr>
          <w:rFonts w:hint="eastAsia" w:ascii="仿宋_GB2312" w:hAnsi="仿宋_GB2312" w:eastAsia="仿宋_GB2312" w:cs="仿宋_GB2312"/>
          <w:bCs w:val="0"/>
          <w:color w:val="000000"/>
          <w:kern w:val="0"/>
          <w:sz w:val="32"/>
          <w:szCs w:val="32"/>
          <w:highlight w:val="none"/>
        </w:rPr>
        <w:t>市农研中心</w:t>
      </w:r>
      <w:r>
        <w:rPr>
          <w:rFonts w:hint="eastAsia" w:ascii="仿宋_GB2312" w:hAnsi="仿宋_GB2312" w:eastAsia="仿宋_GB2312" w:cs="仿宋_GB2312"/>
          <w:color w:val="000000"/>
          <w:kern w:val="0"/>
          <w:sz w:val="32"/>
          <w:szCs w:val="32"/>
          <w:highlight w:val="none"/>
        </w:rPr>
        <w:t>严格落实“</w:t>
      </w:r>
      <w:r>
        <w:rPr>
          <w:rFonts w:hint="eastAsia" w:ascii="仿宋_GB2312" w:hAnsi="仿宋_GB2312" w:eastAsia="仿宋_GB2312" w:cs="仿宋_GB2312"/>
          <w:color w:val="000000"/>
          <w:kern w:val="0"/>
          <w:sz w:val="32"/>
          <w:szCs w:val="32"/>
          <w:highlight w:val="none"/>
          <w:lang w:val="en-US" w:eastAsia="zh-CN"/>
        </w:rPr>
        <w:t>过</w:t>
      </w:r>
      <w:r>
        <w:rPr>
          <w:rFonts w:hint="eastAsia" w:ascii="仿宋_GB2312" w:hAnsi="仿宋_GB2312" w:eastAsia="仿宋_GB2312" w:cs="仿宋_GB2312"/>
          <w:color w:val="000000"/>
          <w:kern w:val="0"/>
          <w:sz w:val="32"/>
          <w:szCs w:val="32"/>
          <w:highlight w:val="none"/>
        </w:rPr>
        <w:t>紧日子”的要求，在保</w:t>
      </w:r>
      <w:r>
        <w:rPr>
          <w:rFonts w:hint="eastAsia" w:ascii="仿宋_GB2312" w:hAnsi="仿宋_GB2312" w:eastAsia="仿宋_GB2312" w:cs="仿宋_GB2312"/>
          <w:color w:val="000000"/>
          <w:kern w:val="0"/>
          <w:sz w:val="32"/>
          <w:szCs w:val="32"/>
          <w:highlight w:val="none"/>
          <w:lang w:val="en-US" w:eastAsia="zh-CN"/>
        </w:rPr>
        <w:t>障</w:t>
      </w:r>
      <w:r>
        <w:rPr>
          <w:rFonts w:hint="eastAsia" w:ascii="仿宋_GB2312" w:hAnsi="仿宋_GB2312" w:eastAsia="仿宋_GB2312" w:cs="仿宋_GB2312"/>
          <w:color w:val="000000"/>
          <w:kern w:val="0"/>
          <w:sz w:val="32"/>
          <w:szCs w:val="32"/>
          <w:highlight w:val="none"/>
        </w:rPr>
        <w:t>基本运转的情况下，严控一般性支出</w:t>
      </w:r>
      <w:r>
        <w:rPr>
          <w:rFonts w:hint="eastAsia" w:ascii="仿宋_GB2312" w:hAnsi="仿宋_GB2312" w:eastAsia="仿宋_GB2312" w:cs="仿宋_GB2312"/>
          <w:color w:val="000000"/>
          <w:kern w:val="0"/>
          <w:sz w:val="32"/>
          <w:szCs w:val="32"/>
          <w:highlight w:val="none"/>
          <w:lang w:eastAsia="zh-CN"/>
        </w:rPr>
        <w:t>，</w:t>
      </w:r>
      <w:r>
        <w:rPr>
          <w:rFonts w:hint="eastAsia" w:ascii="仿宋_GB2312" w:hAnsi="仿宋_GB2312" w:eastAsia="仿宋_GB2312" w:cs="仿宋_GB2312"/>
          <w:color w:val="000000"/>
          <w:kern w:val="0"/>
          <w:sz w:val="32"/>
          <w:szCs w:val="32"/>
          <w:highlight w:val="none"/>
        </w:rPr>
        <w:t>通过开展预算评审，严控项目成本</w:t>
      </w:r>
      <w:r>
        <w:rPr>
          <w:rFonts w:hint="eastAsia" w:ascii="仿宋_GB2312" w:hAnsi="仿宋_GB2312" w:eastAsia="仿宋_GB2312" w:cs="仿宋_GB2312"/>
          <w:color w:val="000000"/>
          <w:kern w:val="0"/>
          <w:sz w:val="32"/>
          <w:szCs w:val="32"/>
          <w:highlight w:val="none"/>
          <w:lang w:eastAsia="zh-CN"/>
        </w:rPr>
        <w:t>。</w:t>
      </w:r>
    </w:p>
    <w:p>
      <w:pPr>
        <w:keepNext w:val="0"/>
        <w:keepLines w:val="0"/>
        <w:pageBreakBefore w:val="0"/>
        <w:widowControl/>
        <w:numPr>
          <w:ilvl w:val="0"/>
          <w:numId w:val="0"/>
        </w:numPr>
        <w:kinsoku/>
        <w:wordWrap/>
        <w:overflowPunct/>
        <w:topLinePunct w:val="0"/>
        <w:autoSpaceDE/>
        <w:autoSpaceDN/>
        <w:bidi w:val="0"/>
        <w:adjustRightInd/>
        <w:snapToGrid/>
        <w:spacing w:line="240" w:lineRule="auto"/>
        <w:ind w:firstLine="640" w:firstLineChars="200"/>
        <w:textAlignment w:val="auto"/>
        <w:outlineLvl w:val="9"/>
        <w:rPr>
          <w:rFonts w:hint="eastAsia" w:ascii="楷体_GB2312" w:hAnsi="Calibri" w:eastAsia="楷体_GB2312" w:cs="Times New Roman"/>
          <w:b w:val="0"/>
          <w:bCs w:val="0"/>
          <w:sz w:val="32"/>
          <w:szCs w:val="32"/>
        </w:rPr>
      </w:pPr>
      <w:bookmarkStart w:id="2" w:name="_Toc10723"/>
      <w:r>
        <w:rPr>
          <w:rFonts w:hint="eastAsia" w:ascii="楷体_GB2312" w:hAnsi="Calibri" w:eastAsia="楷体_GB2312" w:cs="Times New Roman"/>
          <w:b w:val="0"/>
          <w:bCs w:val="0"/>
          <w:sz w:val="32"/>
          <w:szCs w:val="32"/>
        </w:rPr>
        <w:t>（二）效果实现情况分析</w:t>
      </w:r>
      <w:bookmarkEnd w:id="2"/>
    </w:p>
    <w:p>
      <w:pPr>
        <w:keepNext w:val="0"/>
        <w:keepLines w:val="0"/>
        <w:pageBreakBefore w:val="0"/>
        <w:kinsoku/>
        <w:wordWrap/>
        <w:overflowPunct/>
        <w:topLinePunct w:val="0"/>
        <w:autoSpaceDE/>
        <w:autoSpaceDN/>
        <w:bidi w:val="0"/>
        <w:adjustRightInd/>
        <w:spacing w:line="560" w:lineRule="exact"/>
        <w:ind w:right="0" w:firstLine="640" w:firstLineChars="200"/>
        <w:textAlignment w:val="auto"/>
        <w:outlineLvl w:val="2"/>
        <w:rPr>
          <w:rFonts w:hint="eastAsia" w:ascii="仿宋_GB2312" w:hAnsi="仿宋_GB2312" w:eastAsia="仿宋_GB2312" w:cs="仿宋_GB2312"/>
          <w:b w:val="0"/>
          <w:bCs w:val="0"/>
          <w:color w:val="auto"/>
          <w:sz w:val="32"/>
          <w:szCs w:val="32"/>
          <w:lang w:eastAsia="zh-CN"/>
        </w:rPr>
      </w:pPr>
      <w:r>
        <w:rPr>
          <w:rFonts w:hint="eastAsia" w:ascii="仿宋_GB2312" w:hAnsi="仿宋_GB2312" w:eastAsia="仿宋_GB2312" w:cs="仿宋_GB2312"/>
          <w:b w:val="0"/>
          <w:bCs w:val="0"/>
          <w:color w:val="auto"/>
          <w:sz w:val="32"/>
          <w:szCs w:val="32"/>
          <w:lang w:eastAsia="zh-CN"/>
        </w:rPr>
        <w:t>1.社会效益</w:t>
      </w:r>
    </w:p>
    <w:p>
      <w:pPr>
        <w:numPr>
          <w:ilvl w:val="0"/>
          <w:numId w:val="0"/>
        </w:numPr>
        <w:spacing w:line="560" w:lineRule="exact"/>
        <w:ind w:firstLine="640" w:firstLineChars="200"/>
        <w:outlineLvl w:val="9"/>
        <w:rPr>
          <w:rFonts w:hint="eastAsia" w:ascii="仿宋_GB2312" w:hAnsi="仿宋_GB2312" w:eastAsia="仿宋_GB2312" w:cs="仿宋_GB2312"/>
          <w:bCs w:val="0"/>
          <w:color w:val="000000"/>
          <w:kern w:val="0"/>
          <w:sz w:val="32"/>
          <w:szCs w:val="32"/>
          <w:highlight w:val="none"/>
          <w:lang w:val="en-US" w:eastAsia="zh-CN"/>
        </w:rPr>
      </w:pPr>
      <w:r>
        <w:rPr>
          <w:rFonts w:hint="eastAsia" w:ascii="仿宋_GB2312" w:hAnsi="仿宋_GB2312" w:eastAsia="仿宋_GB2312" w:cs="仿宋_GB2312"/>
          <w:bCs w:val="0"/>
          <w:color w:val="000000"/>
          <w:kern w:val="0"/>
          <w:sz w:val="32"/>
          <w:szCs w:val="32"/>
          <w:highlight w:val="none"/>
          <w:lang w:val="en-US" w:eastAsia="zh-CN"/>
        </w:rPr>
        <w:t>市农研中心统筹推进多项课题研究，聚焦集体经济体制机制、新型农业经营主体、乡村研学、农村金融、乡村新产业新业态等内容开展研究，</w:t>
      </w:r>
      <w:r>
        <w:rPr>
          <w:rFonts w:hint="eastAsia" w:ascii="仿宋_GB2312" w:hAnsi="仿宋_GB2312" w:eastAsia="仿宋_GB2312" w:cs="仿宋_GB2312"/>
          <w:color w:val="000000"/>
          <w:kern w:val="0"/>
          <w:sz w:val="32"/>
          <w:szCs w:val="32"/>
          <w:highlight w:val="none"/>
          <w:lang w:val="en-US" w:eastAsia="zh-CN"/>
        </w:rPr>
        <w:t>形成了一系列具有针对性和可操作性的研究成果，多项研究成果得到领导批示和被市财政局、市农业农村局等部门应用采纳，</w:t>
      </w:r>
      <w:r>
        <w:rPr>
          <w:rFonts w:hint="eastAsia" w:ascii="仿宋_GB2312" w:hAnsi="仿宋_GB2312" w:eastAsia="仿宋_GB2312" w:cs="仿宋_GB2312"/>
          <w:bCs w:val="0"/>
          <w:color w:val="000000"/>
          <w:kern w:val="0"/>
          <w:sz w:val="32"/>
          <w:szCs w:val="32"/>
          <w:highlight w:val="none"/>
          <w:lang w:val="en-US" w:eastAsia="zh-CN"/>
        </w:rPr>
        <w:t>为市委市政府“三农”政策制定提供决策依据。</w:t>
      </w:r>
    </w:p>
    <w:p>
      <w:pPr>
        <w:numPr>
          <w:ilvl w:val="0"/>
          <w:numId w:val="0"/>
        </w:numPr>
        <w:spacing w:line="560" w:lineRule="exact"/>
        <w:ind w:firstLine="640" w:firstLineChars="200"/>
        <w:outlineLvl w:val="9"/>
        <w:rPr>
          <w:rFonts w:hint="default"/>
          <w:lang w:val="en-US" w:eastAsia="zh-CN"/>
        </w:rPr>
      </w:pPr>
      <w:r>
        <w:rPr>
          <w:rFonts w:hint="default" w:ascii="仿宋_GB2312" w:hAnsi="仿宋_GB2312" w:eastAsia="仿宋_GB2312" w:cs="仿宋_GB2312"/>
          <w:color w:val="000000"/>
          <w:kern w:val="0"/>
          <w:sz w:val="32"/>
          <w:szCs w:val="32"/>
          <w:highlight w:val="none"/>
          <w:lang w:bidi="ar-SA"/>
        </w:rPr>
        <w:t>为基层提供精准指导服务，成功举办了4次“京郊行”活动，邀请了</w:t>
      </w:r>
      <w:r>
        <w:rPr>
          <w:rFonts w:hint="eastAsia" w:ascii="仿宋_GB2312" w:hAnsi="仿宋_GB2312" w:eastAsia="仿宋_GB2312" w:cs="仿宋_GB2312"/>
          <w:color w:val="000000"/>
          <w:kern w:val="0"/>
          <w:sz w:val="32"/>
          <w:szCs w:val="32"/>
          <w:highlight w:val="none"/>
          <w:lang w:eastAsia="zh-CN" w:bidi="ar-SA"/>
        </w:rPr>
        <w:t>来自</w:t>
      </w:r>
      <w:r>
        <w:rPr>
          <w:rFonts w:hint="default" w:ascii="仿宋_GB2312" w:hAnsi="仿宋_GB2312" w:eastAsia="仿宋_GB2312" w:cs="仿宋_GB2312"/>
          <w:color w:val="000000"/>
          <w:kern w:val="0"/>
          <w:sz w:val="32"/>
          <w:szCs w:val="32"/>
          <w:highlight w:val="none"/>
          <w:lang w:bidi="ar-SA"/>
        </w:rPr>
        <w:t>农业农村部农村经济研究中心、中国农业科学院、清华大学、中国人民大学等近40位专家为“百千工程”和农业产业园区进行深入诊断</w:t>
      </w:r>
      <w:r>
        <w:rPr>
          <w:rFonts w:hint="default" w:ascii="仿宋_GB2312" w:hAnsi="仿宋_GB2312" w:eastAsia="仿宋_GB2312" w:cs="仿宋_GB2312"/>
          <w:color w:val="000000"/>
          <w:kern w:val="0"/>
          <w:sz w:val="32"/>
          <w:szCs w:val="32"/>
          <w:lang w:bidi="ar-SA"/>
        </w:rPr>
        <w:t>；深化“三统筹”改革试验示范工作，创建了京郊现代农业产业科技服务中心和现代农业产业示范基地的新典范；围绕数据支撑，优化了“百村千户”监测指标体系，加强了监测数据的应用，形成了10余份专题报告，这些报告已成为市人大、市政协座谈研讨会的重要支撑材料。</w:t>
      </w:r>
    </w:p>
    <w:p>
      <w:pPr>
        <w:numPr>
          <w:ilvl w:val="0"/>
          <w:numId w:val="0"/>
        </w:numPr>
        <w:spacing w:line="560" w:lineRule="exact"/>
        <w:ind w:firstLine="640" w:firstLineChars="200"/>
        <w:outlineLvl w:val="9"/>
        <w:rPr>
          <w:rFonts w:hint="eastAsia"/>
          <w:lang w:val="en-US" w:eastAsia="zh-CN"/>
        </w:rPr>
      </w:pPr>
      <w:r>
        <w:rPr>
          <w:rFonts w:hint="default" w:ascii="仿宋_GB2312" w:hAnsi="仿宋_GB2312" w:eastAsia="仿宋_GB2312" w:cs="仿宋_GB2312"/>
          <w:color w:val="000000"/>
          <w:kern w:val="0"/>
          <w:sz w:val="32"/>
          <w:szCs w:val="32"/>
          <w:lang w:bidi="ar-SA"/>
        </w:rPr>
        <w:t>积极探寻多元化的合作途径，成功举办了包括京台美丽乡村论坛、北京艺术乡村博览会“长城脚下我故乡”专题展、市金融办畅融工程助力乡村振兴投融资专场活动在内的十余场重要活动。这些活动充分发挥了平台资源整合的优势，有效推动了城乡之间的交流与要素流动。同时，实施了假期期间对重点休闲农业园区的监测工作，依托监测数据，广泛宣传推介了京郊休闲旅游政策和消费信息，显著提升了京郊农村地区的知名度和影响力。此外，与天津、河北休闲农业协会携手合作，共同推出了16条乡村旅游线路，共同打造了京津冀乡村休闲旅游品牌，有力促进了城乡资源的互补与共享。</w:t>
      </w:r>
    </w:p>
    <w:p>
      <w:pPr>
        <w:keepNext w:val="0"/>
        <w:keepLines w:val="0"/>
        <w:pageBreakBefore w:val="0"/>
        <w:kinsoku/>
        <w:wordWrap/>
        <w:overflowPunct/>
        <w:topLinePunct w:val="0"/>
        <w:autoSpaceDE/>
        <w:autoSpaceDN/>
        <w:bidi w:val="0"/>
        <w:adjustRightInd/>
        <w:spacing w:line="560" w:lineRule="exact"/>
        <w:ind w:right="0" w:firstLine="640" w:firstLineChars="200"/>
        <w:textAlignment w:val="auto"/>
        <w:outlineLvl w:val="2"/>
        <w:rPr>
          <w:rFonts w:hint="eastAsia" w:ascii="仿宋_GB2312" w:hAnsi="仿宋_GB2312" w:eastAsia="仿宋_GB2312" w:cs="仿宋_GB2312"/>
          <w:b w:val="0"/>
          <w:bCs w:val="0"/>
          <w:color w:val="auto"/>
          <w:sz w:val="32"/>
          <w:szCs w:val="32"/>
          <w:lang w:eastAsia="zh-CN"/>
        </w:rPr>
      </w:pPr>
      <w:r>
        <w:rPr>
          <w:rFonts w:hint="eastAsia" w:ascii="仿宋_GB2312" w:hAnsi="仿宋_GB2312" w:eastAsia="仿宋_GB2312" w:cs="仿宋_GB2312"/>
          <w:b w:val="0"/>
          <w:bCs w:val="0"/>
          <w:color w:val="auto"/>
          <w:sz w:val="32"/>
          <w:szCs w:val="32"/>
          <w:lang w:eastAsia="zh-CN"/>
        </w:rPr>
        <w:t>2.可持续性影响</w:t>
      </w:r>
    </w:p>
    <w:p>
      <w:pPr>
        <w:numPr>
          <w:ilvl w:val="0"/>
          <w:numId w:val="0"/>
        </w:numPr>
        <w:spacing w:line="560" w:lineRule="exact"/>
        <w:ind w:firstLine="640" w:firstLineChars="200"/>
        <w:outlineLvl w:val="9"/>
        <w:rPr>
          <w:rFonts w:hint="eastAsia" w:ascii="仿宋_GB2312" w:hAnsi="仿宋_GB2312" w:eastAsia="仿宋_GB2312" w:cs="仿宋_GB2312"/>
          <w:color w:val="000000"/>
          <w:kern w:val="0"/>
          <w:sz w:val="32"/>
          <w:szCs w:val="32"/>
          <w:highlight w:val="none"/>
          <w:lang w:val="en-US" w:eastAsia="zh-CN"/>
        </w:rPr>
      </w:pPr>
      <w:r>
        <w:rPr>
          <w:rFonts w:hint="eastAsia" w:ascii="仿宋_GB2312" w:hAnsi="仿宋_GB2312" w:eastAsia="仿宋_GB2312" w:cs="仿宋_GB2312"/>
          <w:color w:val="000000"/>
          <w:kern w:val="0"/>
          <w:sz w:val="32"/>
          <w:szCs w:val="32"/>
          <w:highlight w:val="none"/>
          <w:lang w:val="en-US" w:eastAsia="zh-CN"/>
        </w:rPr>
        <w:t>深化党纪学习教育，依托学原文原著、交流研讨、专题辅导、网络教学及参观见学等多种形式，紧密围绕党的政治纪律、组织纪律、廉洁纪律等核心内容，开展深入的学习和交流；通过警示教育，利用身边的党纪国法违规案例作为“活教材”，进行专题学习和交流，深入挖掘思想根源，举一反三，引以为戒，从而增强拒腐防变的意识；严格执行党内制度规范，完善工作体系，规范支部建设，确保“三会一课”、民主评议党员、主题党日等制度得到落实；贯彻全面从严治党战略方针，举办2024年全面从严治党大会，制定工作要点和责任清单，签订责任书，常态化推进全面从严治党工作，确保其深入实施，落到实处。</w:t>
      </w:r>
    </w:p>
    <w:p>
      <w:pPr>
        <w:keepNext w:val="0"/>
        <w:keepLines w:val="0"/>
        <w:pageBreakBefore w:val="0"/>
        <w:numPr>
          <w:ilvl w:val="0"/>
          <w:numId w:val="0"/>
        </w:numPr>
        <w:kinsoku/>
        <w:wordWrap/>
        <w:overflowPunct/>
        <w:topLinePunct w:val="0"/>
        <w:autoSpaceDE/>
        <w:autoSpaceDN/>
        <w:bidi w:val="0"/>
        <w:adjustRightInd/>
        <w:spacing w:line="560" w:lineRule="exact"/>
        <w:ind w:right="0" w:firstLine="640" w:firstLineChars="200"/>
        <w:textAlignment w:val="auto"/>
        <w:outlineLvl w:val="9"/>
        <w:rPr>
          <w:rFonts w:hint="default" w:ascii="仿宋_GB2312" w:hAnsi="仿宋_GB2312" w:eastAsia="仿宋_GB2312" w:cs="仿宋_GB2312"/>
          <w:bCs w:val="0"/>
          <w:color w:val="000000"/>
          <w:kern w:val="0"/>
          <w:sz w:val="32"/>
          <w:szCs w:val="32"/>
          <w:highlight w:val="none"/>
          <w:lang w:val="en-US" w:eastAsia="zh-CN"/>
        </w:rPr>
      </w:pPr>
      <w:r>
        <w:rPr>
          <w:rFonts w:hint="eastAsia" w:ascii="仿宋_GB2312" w:hAnsi="仿宋_GB2312" w:eastAsia="仿宋_GB2312" w:cs="仿宋_GB2312"/>
          <w:bCs w:val="0"/>
          <w:color w:val="000000"/>
          <w:kern w:val="0"/>
          <w:sz w:val="32"/>
          <w:szCs w:val="32"/>
          <w:highlight w:val="none"/>
          <w:lang w:val="en-US" w:eastAsia="zh-CN"/>
        </w:rPr>
        <w:t>强化综合管理保障，严格落实“三管三必须”要求，深入推进平安北京建设。信息报送质量不断提高，完成项目绩效评价、财务报告编制等工作。后勤服务保障呈现新面貌，规范公文流转与印章管理，推动档案数字化建设。</w:t>
      </w:r>
    </w:p>
    <w:p>
      <w:pPr>
        <w:keepNext w:val="0"/>
        <w:keepLines w:val="0"/>
        <w:pageBreakBefore w:val="0"/>
        <w:kinsoku/>
        <w:wordWrap/>
        <w:overflowPunct/>
        <w:topLinePunct w:val="0"/>
        <w:autoSpaceDE/>
        <w:autoSpaceDN/>
        <w:bidi w:val="0"/>
        <w:adjustRightInd/>
        <w:spacing w:line="240" w:lineRule="auto"/>
        <w:ind w:right="0" w:firstLine="640" w:firstLineChars="200"/>
        <w:textAlignment w:val="auto"/>
        <w:outlineLvl w:val="2"/>
        <w:rPr>
          <w:rFonts w:hint="eastAsia" w:ascii="仿宋_GB2312" w:hAnsi="仿宋_GB2312" w:eastAsia="仿宋_GB2312" w:cs="仿宋_GB2312"/>
          <w:b w:val="0"/>
          <w:bCs w:val="0"/>
          <w:color w:val="auto"/>
          <w:sz w:val="32"/>
          <w:szCs w:val="32"/>
          <w:highlight w:val="none"/>
          <w:lang w:eastAsia="zh-CN"/>
        </w:rPr>
      </w:pPr>
      <w:r>
        <w:rPr>
          <w:rFonts w:hint="eastAsia" w:ascii="仿宋_GB2312" w:hAnsi="仿宋_GB2312" w:eastAsia="仿宋_GB2312" w:cs="仿宋_GB2312"/>
          <w:b w:val="0"/>
          <w:bCs w:val="0"/>
          <w:color w:val="auto"/>
          <w:sz w:val="32"/>
          <w:szCs w:val="32"/>
          <w:highlight w:val="none"/>
          <w:lang w:eastAsia="zh-CN"/>
        </w:rPr>
        <w:t>3.服务对象满意度</w:t>
      </w:r>
    </w:p>
    <w:p>
      <w:pPr>
        <w:keepNext w:val="0"/>
        <w:keepLines w:val="0"/>
        <w:pageBreakBefore w:val="0"/>
        <w:numPr>
          <w:ilvl w:val="0"/>
          <w:numId w:val="0"/>
        </w:numPr>
        <w:kinsoku/>
        <w:wordWrap/>
        <w:overflowPunct/>
        <w:topLinePunct w:val="0"/>
        <w:autoSpaceDE/>
        <w:autoSpaceDN/>
        <w:bidi w:val="0"/>
        <w:adjustRightInd/>
        <w:spacing w:line="560" w:lineRule="exact"/>
        <w:ind w:firstLine="640" w:firstLineChars="200"/>
        <w:textAlignment w:val="auto"/>
        <w:outlineLvl w:val="9"/>
        <w:rPr>
          <w:rFonts w:hint="default" w:ascii="仿宋_GB2312" w:hAnsi="仿宋_GB2312" w:eastAsia="仿宋_GB2312" w:cs="仿宋_GB2312"/>
          <w:color w:val="000000"/>
          <w:kern w:val="0"/>
          <w:sz w:val="32"/>
          <w:szCs w:val="32"/>
          <w:highlight w:val="none"/>
          <w:lang w:val="en-US" w:eastAsia="zh-CN"/>
        </w:rPr>
      </w:pPr>
      <w:r>
        <w:rPr>
          <w:rFonts w:hint="eastAsia" w:ascii="仿宋_GB2312" w:hAnsi="仿宋_GB2312" w:eastAsia="仿宋_GB2312" w:cs="仿宋_GB2312"/>
          <w:color w:val="000000"/>
          <w:kern w:val="0"/>
          <w:sz w:val="32"/>
          <w:szCs w:val="32"/>
        </w:rPr>
        <w:t>服务对象满意度指标满意度≥80%</w:t>
      </w:r>
      <w:r>
        <w:rPr>
          <w:rFonts w:hint="eastAsia" w:ascii="仿宋_GB2312" w:hAnsi="仿宋_GB2312" w:eastAsia="仿宋_GB2312" w:cs="仿宋_GB2312"/>
          <w:bCs w:val="0"/>
          <w:color w:val="000000"/>
          <w:kern w:val="0"/>
          <w:sz w:val="32"/>
          <w:szCs w:val="32"/>
          <w:lang w:val="en-US" w:eastAsia="zh-CN"/>
        </w:rPr>
        <w:t>；</w:t>
      </w:r>
      <w:r>
        <w:rPr>
          <w:rFonts w:hint="eastAsia" w:ascii="仿宋_GB2312" w:hAnsi="仿宋_GB2312" w:eastAsia="仿宋_GB2312" w:cs="仿宋_GB2312"/>
          <w:color w:val="000000"/>
          <w:kern w:val="0"/>
          <w:sz w:val="32"/>
          <w:szCs w:val="32"/>
        </w:rPr>
        <w:t>农业资源区划行政管理部门和相关区级主管部门满意度评价良好以上</w:t>
      </w:r>
      <w:r>
        <w:rPr>
          <w:rFonts w:hint="eastAsia" w:ascii="仿宋_GB2312" w:hAnsi="仿宋_GB2312" w:eastAsia="仿宋_GB2312" w:cs="仿宋_GB2312"/>
          <w:color w:val="000000"/>
          <w:kern w:val="0"/>
          <w:sz w:val="32"/>
          <w:szCs w:val="32"/>
          <w:lang w:eastAsia="zh-CN"/>
        </w:rPr>
        <w:t>；</w:t>
      </w:r>
      <w:r>
        <w:rPr>
          <w:rFonts w:hint="eastAsia" w:ascii="仿宋_GB2312" w:hAnsi="仿宋_GB2312" w:eastAsia="仿宋_GB2312" w:cs="仿宋_GB2312"/>
          <w:color w:val="000000"/>
          <w:kern w:val="0"/>
          <w:sz w:val="32"/>
          <w:szCs w:val="32"/>
        </w:rPr>
        <w:t>对接受金融顾问服务的1000个涉农经营主体开展服务效果调查，满意度</w:t>
      </w:r>
      <w:r>
        <w:rPr>
          <w:rFonts w:hint="eastAsia" w:ascii="仿宋_GB2312" w:hAnsi="仿宋_GB2312" w:eastAsia="仿宋_GB2312" w:cs="仿宋_GB2312"/>
          <w:color w:val="000000"/>
          <w:kern w:val="0"/>
          <w:sz w:val="32"/>
          <w:szCs w:val="32"/>
          <w:lang w:val="en-US" w:eastAsia="zh-CN"/>
        </w:rPr>
        <w:t>≥80%。</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0"/>
        <w:rPr>
          <w:rFonts w:hint="eastAsia" w:ascii="黑体" w:hAnsi="黑体" w:eastAsia="黑体" w:cs="黑体"/>
          <w:color w:val="000000"/>
          <w:kern w:val="0"/>
          <w:sz w:val="32"/>
          <w:szCs w:val="32"/>
        </w:rPr>
      </w:pPr>
      <w:r>
        <w:rPr>
          <w:rFonts w:hint="eastAsia" w:ascii="黑体" w:hAnsi="黑体" w:eastAsia="黑体" w:cs="黑体"/>
          <w:color w:val="000000"/>
          <w:kern w:val="0"/>
          <w:sz w:val="32"/>
          <w:szCs w:val="32"/>
        </w:rPr>
        <w:t>四、预算管理情况分析</w:t>
      </w:r>
    </w:p>
    <w:p>
      <w:pPr>
        <w:widowControl/>
        <w:numPr>
          <w:ilvl w:val="0"/>
          <w:numId w:val="0"/>
        </w:numPr>
        <w:spacing w:line="240" w:lineRule="auto"/>
        <w:ind w:left="0" w:leftChars="0" w:firstLine="640" w:firstLineChars="200"/>
        <w:outlineLvl w:val="9"/>
        <w:rPr>
          <w:rFonts w:hint="eastAsia" w:ascii="楷体_GB2312" w:hAnsi="Calibri" w:eastAsia="楷体_GB2312"/>
          <w:b w:val="0"/>
          <w:bCs w:val="0"/>
          <w:sz w:val="32"/>
          <w:szCs w:val="32"/>
        </w:rPr>
      </w:pPr>
      <w:r>
        <w:rPr>
          <w:rFonts w:hint="eastAsia" w:ascii="楷体_GB2312" w:hAnsi="Calibri" w:eastAsia="楷体_GB2312"/>
          <w:b w:val="0"/>
          <w:bCs w:val="0"/>
          <w:sz w:val="32"/>
          <w:szCs w:val="32"/>
        </w:rPr>
        <w:t>（一）财务管理</w:t>
      </w:r>
    </w:p>
    <w:p>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outlineLvl w:val="2"/>
        <w:rPr>
          <w:rFonts w:hint="eastAsia" w:ascii="仿宋_GB2312" w:hAnsi="仿宋_GB2312" w:eastAsia="仿宋_GB2312" w:cs="仿宋_GB2312"/>
          <w:b w:val="0"/>
          <w:bCs w:val="0"/>
          <w:color w:val="auto"/>
          <w:kern w:val="2"/>
          <w:sz w:val="32"/>
          <w:szCs w:val="32"/>
        </w:rPr>
      </w:pPr>
      <w:r>
        <w:rPr>
          <w:rFonts w:hint="eastAsia" w:ascii="仿宋_GB2312" w:hAnsi="仿宋_GB2312" w:eastAsia="仿宋_GB2312" w:cs="仿宋_GB2312"/>
          <w:b w:val="0"/>
          <w:bCs w:val="0"/>
          <w:color w:val="auto"/>
          <w:kern w:val="2"/>
          <w:sz w:val="32"/>
          <w:szCs w:val="32"/>
        </w:rPr>
        <w:t>1.财务管理制度健全性</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bCs w:val="0"/>
          <w:color w:val="000000"/>
          <w:kern w:val="0"/>
          <w:sz w:val="32"/>
          <w:szCs w:val="32"/>
        </w:rPr>
      </w:pPr>
      <w:r>
        <w:rPr>
          <w:rFonts w:hint="eastAsia" w:ascii="仿宋_GB2312" w:hAnsi="仿宋_GB2312" w:eastAsia="仿宋_GB2312" w:cs="仿宋_GB2312"/>
          <w:bCs w:val="0"/>
          <w:color w:val="000000"/>
          <w:kern w:val="0"/>
          <w:sz w:val="32"/>
          <w:szCs w:val="32"/>
        </w:rPr>
        <w:t>市农研中心落实内部控制规范要求，制定了《北京市农村经济研究中心内部控制手册》，已建立《北京市农村经济研究中心财务管理办法</w:t>
      </w:r>
      <w:r>
        <w:rPr>
          <w:rFonts w:hint="eastAsia" w:ascii="仿宋_GB2312" w:hAnsi="仿宋_GB2312" w:eastAsia="仿宋_GB2312" w:cs="仿宋_GB2312"/>
          <w:bCs w:val="0"/>
          <w:color w:val="000000"/>
          <w:kern w:val="0"/>
          <w:sz w:val="32"/>
          <w:szCs w:val="32"/>
          <w:lang w:eastAsia="zh-CN"/>
        </w:rPr>
        <w:t>（</w:t>
      </w:r>
      <w:r>
        <w:rPr>
          <w:rFonts w:hint="eastAsia" w:ascii="仿宋_GB2312" w:hAnsi="仿宋_GB2312" w:eastAsia="仿宋_GB2312" w:cs="仿宋_GB2312"/>
          <w:bCs w:val="0"/>
          <w:color w:val="000000"/>
          <w:kern w:val="0"/>
          <w:sz w:val="32"/>
          <w:szCs w:val="32"/>
          <w:lang w:val="en-US" w:eastAsia="zh-CN"/>
        </w:rPr>
        <w:t>试行）</w:t>
      </w:r>
      <w:r>
        <w:rPr>
          <w:rFonts w:hint="eastAsia" w:ascii="仿宋_GB2312" w:hAnsi="仿宋_GB2312" w:eastAsia="仿宋_GB2312" w:cs="仿宋_GB2312"/>
          <w:bCs w:val="0"/>
          <w:color w:val="000000"/>
          <w:kern w:val="0"/>
          <w:sz w:val="32"/>
          <w:szCs w:val="32"/>
        </w:rPr>
        <w:t>》《北京市农村经济研究中心预算管理办法》《北京市农村经济研究中心经费资金支</w:t>
      </w:r>
      <w:r>
        <w:rPr>
          <w:rFonts w:hint="eastAsia" w:ascii="仿宋_GB2312" w:hAnsi="仿宋_GB2312" w:eastAsia="仿宋_GB2312" w:cs="仿宋_GB2312"/>
          <w:bCs w:val="0"/>
          <w:color w:val="000000"/>
          <w:kern w:val="0"/>
          <w:sz w:val="32"/>
          <w:szCs w:val="32"/>
          <w:lang w:val="en-US" w:eastAsia="zh-CN"/>
        </w:rPr>
        <w:t>出</w:t>
      </w:r>
      <w:r>
        <w:rPr>
          <w:rFonts w:hint="eastAsia" w:ascii="仿宋_GB2312" w:hAnsi="仿宋_GB2312" w:eastAsia="仿宋_GB2312" w:cs="仿宋_GB2312"/>
          <w:bCs w:val="0"/>
          <w:color w:val="000000"/>
          <w:kern w:val="0"/>
          <w:sz w:val="32"/>
          <w:szCs w:val="32"/>
        </w:rPr>
        <w:t>管理办法</w:t>
      </w:r>
      <w:r>
        <w:rPr>
          <w:rFonts w:hint="eastAsia" w:ascii="仿宋_GB2312" w:hAnsi="仿宋_GB2312" w:eastAsia="仿宋_GB2312" w:cs="仿宋_GB2312"/>
          <w:bCs w:val="0"/>
          <w:color w:val="000000"/>
          <w:kern w:val="0"/>
          <w:sz w:val="32"/>
          <w:szCs w:val="32"/>
          <w:lang w:eastAsia="zh-CN"/>
        </w:rPr>
        <w:t>（</w:t>
      </w:r>
      <w:r>
        <w:rPr>
          <w:rFonts w:hint="eastAsia" w:ascii="仿宋_GB2312" w:hAnsi="仿宋_GB2312" w:eastAsia="仿宋_GB2312" w:cs="仿宋_GB2312"/>
          <w:bCs w:val="0"/>
          <w:color w:val="000000"/>
          <w:kern w:val="0"/>
          <w:sz w:val="32"/>
          <w:szCs w:val="32"/>
          <w:lang w:val="en-US" w:eastAsia="zh-CN"/>
        </w:rPr>
        <w:t>试行）</w:t>
      </w:r>
      <w:r>
        <w:rPr>
          <w:rFonts w:hint="eastAsia" w:ascii="仿宋_GB2312" w:hAnsi="仿宋_GB2312" w:eastAsia="仿宋_GB2312" w:cs="仿宋_GB2312"/>
          <w:bCs w:val="0"/>
          <w:color w:val="000000"/>
          <w:kern w:val="0"/>
          <w:sz w:val="32"/>
          <w:szCs w:val="32"/>
        </w:rPr>
        <w:t>》《北京市农村经济研究中心采购工作管理办法》《北京市农村经济研究中心固定资产使用管理办法</w:t>
      </w:r>
      <w:r>
        <w:rPr>
          <w:rFonts w:hint="eastAsia" w:ascii="仿宋_GB2312" w:hAnsi="仿宋_GB2312" w:eastAsia="仿宋_GB2312" w:cs="仿宋_GB2312"/>
          <w:bCs w:val="0"/>
          <w:color w:val="000000"/>
          <w:kern w:val="0"/>
          <w:sz w:val="32"/>
          <w:szCs w:val="32"/>
          <w:lang w:eastAsia="zh-CN"/>
        </w:rPr>
        <w:t>（</w:t>
      </w:r>
      <w:r>
        <w:rPr>
          <w:rFonts w:hint="eastAsia" w:ascii="仿宋_GB2312" w:hAnsi="仿宋_GB2312" w:eastAsia="仿宋_GB2312" w:cs="仿宋_GB2312"/>
          <w:bCs w:val="0"/>
          <w:color w:val="000000"/>
          <w:kern w:val="0"/>
          <w:sz w:val="32"/>
          <w:szCs w:val="32"/>
          <w:lang w:val="en-US" w:eastAsia="zh-CN"/>
        </w:rPr>
        <w:t>试行）</w:t>
      </w:r>
      <w:r>
        <w:rPr>
          <w:rFonts w:hint="eastAsia" w:ascii="仿宋_GB2312" w:hAnsi="仿宋_GB2312" w:eastAsia="仿宋_GB2312" w:cs="仿宋_GB2312"/>
          <w:bCs w:val="0"/>
          <w:color w:val="000000"/>
          <w:kern w:val="0"/>
          <w:sz w:val="32"/>
          <w:szCs w:val="32"/>
        </w:rPr>
        <w:t>》《北京市农村经济研究中心货币资金管理办法</w:t>
      </w:r>
      <w:r>
        <w:rPr>
          <w:rFonts w:hint="eastAsia" w:ascii="仿宋_GB2312" w:hAnsi="仿宋_GB2312" w:eastAsia="仿宋_GB2312" w:cs="仿宋_GB2312"/>
          <w:bCs w:val="0"/>
          <w:color w:val="000000"/>
          <w:kern w:val="0"/>
          <w:sz w:val="32"/>
          <w:szCs w:val="32"/>
          <w:lang w:eastAsia="zh-CN"/>
        </w:rPr>
        <w:t>（</w:t>
      </w:r>
      <w:r>
        <w:rPr>
          <w:rFonts w:hint="eastAsia" w:ascii="仿宋_GB2312" w:hAnsi="仿宋_GB2312" w:eastAsia="仿宋_GB2312" w:cs="仿宋_GB2312"/>
          <w:bCs w:val="0"/>
          <w:color w:val="000000"/>
          <w:kern w:val="0"/>
          <w:sz w:val="32"/>
          <w:szCs w:val="32"/>
          <w:lang w:val="en-US" w:eastAsia="zh-CN"/>
        </w:rPr>
        <w:t>试行）</w:t>
      </w:r>
      <w:r>
        <w:rPr>
          <w:rFonts w:hint="eastAsia" w:ascii="仿宋_GB2312" w:hAnsi="仿宋_GB2312" w:eastAsia="仿宋_GB2312" w:cs="仿宋_GB2312"/>
          <w:bCs w:val="0"/>
          <w:color w:val="000000"/>
          <w:kern w:val="0"/>
          <w:sz w:val="32"/>
          <w:szCs w:val="32"/>
        </w:rPr>
        <w:t>》《北京市农村经济研究中心</w:t>
      </w:r>
      <w:r>
        <w:rPr>
          <w:rFonts w:hint="eastAsia" w:ascii="仿宋_GB2312" w:hAnsi="仿宋_GB2312" w:eastAsia="仿宋_GB2312" w:cs="仿宋_GB2312"/>
          <w:bCs w:val="0"/>
          <w:color w:val="000000"/>
          <w:kern w:val="0"/>
          <w:sz w:val="32"/>
          <w:szCs w:val="32"/>
          <w:lang w:val="en-US" w:eastAsia="zh-CN"/>
        </w:rPr>
        <w:t>经济</w:t>
      </w:r>
      <w:r>
        <w:rPr>
          <w:rFonts w:hint="eastAsia" w:ascii="仿宋_GB2312" w:hAnsi="仿宋_GB2312" w:eastAsia="仿宋_GB2312" w:cs="仿宋_GB2312"/>
          <w:bCs w:val="0"/>
          <w:color w:val="000000"/>
          <w:kern w:val="0"/>
          <w:sz w:val="32"/>
          <w:szCs w:val="32"/>
        </w:rPr>
        <w:t>合同管理办法</w:t>
      </w:r>
      <w:r>
        <w:rPr>
          <w:rFonts w:hint="eastAsia" w:ascii="仿宋_GB2312" w:hAnsi="仿宋_GB2312" w:eastAsia="仿宋_GB2312" w:cs="仿宋_GB2312"/>
          <w:bCs w:val="0"/>
          <w:color w:val="000000"/>
          <w:kern w:val="0"/>
          <w:sz w:val="32"/>
          <w:szCs w:val="32"/>
          <w:lang w:eastAsia="zh-CN"/>
        </w:rPr>
        <w:t>（</w:t>
      </w:r>
      <w:r>
        <w:rPr>
          <w:rFonts w:hint="eastAsia" w:ascii="仿宋_GB2312" w:hAnsi="仿宋_GB2312" w:eastAsia="仿宋_GB2312" w:cs="仿宋_GB2312"/>
          <w:bCs w:val="0"/>
          <w:color w:val="000000"/>
          <w:kern w:val="0"/>
          <w:sz w:val="32"/>
          <w:szCs w:val="32"/>
          <w:lang w:val="en-US" w:eastAsia="zh-CN"/>
        </w:rPr>
        <w:t>试行）</w:t>
      </w:r>
      <w:r>
        <w:rPr>
          <w:rFonts w:hint="eastAsia" w:ascii="仿宋_GB2312" w:hAnsi="仿宋_GB2312" w:eastAsia="仿宋_GB2312" w:cs="仿宋_GB2312"/>
          <w:bCs w:val="0"/>
          <w:color w:val="000000"/>
          <w:kern w:val="0"/>
          <w:sz w:val="32"/>
          <w:szCs w:val="32"/>
        </w:rPr>
        <w:t>》等相关管理制度，对预算业务、收支业务、政府采购业务、固定资产管理业务、合同业务等财务管理进行了规范，部门财务管理制度较健全，各项规定</w:t>
      </w:r>
      <w:r>
        <w:rPr>
          <w:rFonts w:hint="eastAsia" w:ascii="仿宋_GB2312" w:hAnsi="仿宋_GB2312" w:eastAsia="仿宋_GB2312" w:cs="仿宋_GB2312"/>
          <w:bCs w:val="0"/>
          <w:color w:val="000000"/>
          <w:kern w:val="0"/>
          <w:sz w:val="32"/>
          <w:szCs w:val="32"/>
          <w:lang w:val="en-US" w:eastAsia="zh-CN"/>
        </w:rPr>
        <w:t>规范有效</w:t>
      </w:r>
      <w:r>
        <w:rPr>
          <w:rFonts w:hint="eastAsia" w:ascii="仿宋_GB2312" w:hAnsi="仿宋_GB2312" w:eastAsia="仿宋_GB2312" w:cs="仿宋_GB2312"/>
          <w:bCs w:val="0"/>
          <w:color w:val="000000"/>
          <w:kern w:val="0"/>
          <w:sz w:val="32"/>
          <w:szCs w:val="32"/>
        </w:rPr>
        <w:t>，具有可操作性。</w:t>
      </w:r>
    </w:p>
    <w:p>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outlineLvl w:val="2"/>
        <w:rPr>
          <w:rFonts w:hint="eastAsia" w:ascii="仿宋_GB2312" w:hAnsi="仿宋_GB2312" w:eastAsia="仿宋_GB2312" w:cs="仿宋_GB2312"/>
          <w:b w:val="0"/>
          <w:bCs w:val="0"/>
          <w:color w:val="auto"/>
          <w:kern w:val="2"/>
          <w:sz w:val="32"/>
          <w:szCs w:val="32"/>
        </w:rPr>
      </w:pPr>
      <w:r>
        <w:rPr>
          <w:rFonts w:hint="eastAsia" w:ascii="仿宋_GB2312" w:hAnsi="仿宋_GB2312" w:eastAsia="仿宋_GB2312" w:cs="仿宋_GB2312"/>
          <w:b w:val="0"/>
          <w:bCs w:val="0"/>
          <w:color w:val="auto"/>
          <w:kern w:val="2"/>
          <w:sz w:val="32"/>
          <w:szCs w:val="32"/>
        </w:rPr>
        <w:t>2.资金使用合规性和安全性</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bCs w:val="0"/>
          <w:color w:val="000000"/>
          <w:kern w:val="0"/>
          <w:sz w:val="32"/>
          <w:szCs w:val="32"/>
        </w:rPr>
      </w:pPr>
      <w:r>
        <w:rPr>
          <w:rFonts w:hint="eastAsia" w:ascii="仿宋_GB2312" w:hAnsi="仿宋_GB2312" w:eastAsia="仿宋_GB2312" w:cs="仿宋_GB2312"/>
          <w:bCs w:val="0"/>
          <w:color w:val="000000"/>
          <w:kern w:val="0"/>
          <w:sz w:val="32"/>
          <w:szCs w:val="32"/>
        </w:rPr>
        <w:t>202</w:t>
      </w:r>
      <w:r>
        <w:rPr>
          <w:rFonts w:hint="eastAsia" w:ascii="仿宋_GB2312" w:hAnsi="仿宋_GB2312" w:eastAsia="仿宋_GB2312" w:cs="仿宋_GB2312"/>
          <w:bCs w:val="0"/>
          <w:color w:val="000000"/>
          <w:kern w:val="0"/>
          <w:sz w:val="32"/>
          <w:szCs w:val="32"/>
          <w:lang w:val="en-US" w:eastAsia="zh-CN"/>
        </w:rPr>
        <w:t>4</w:t>
      </w:r>
      <w:r>
        <w:rPr>
          <w:rFonts w:hint="eastAsia" w:ascii="仿宋_GB2312" w:hAnsi="仿宋_GB2312" w:eastAsia="仿宋_GB2312" w:cs="仿宋_GB2312"/>
          <w:bCs w:val="0"/>
          <w:color w:val="000000"/>
          <w:kern w:val="0"/>
          <w:sz w:val="32"/>
          <w:szCs w:val="32"/>
        </w:rPr>
        <w:t>年，市农研中心在预算编制阶段，</w:t>
      </w:r>
      <w:r>
        <w:rPr>
          <w:rFonts w:hint="default" w:ascii="仿宋_GB2312" w:hAnsi="仿宋_GB2312" w:eastAsia="仿宋_GB2312" w:cs="仿宋_GB2312"/>
          <w:color w:val="000000"/>
          <w:kern w:val="0"/>
          <w:sz w:val="32"/>
          <w:szCs w:val="32"/>
          <w:lang w:bidi="ar-SA"/>
        </w:rPr>
        <w:t>严格依照《北京市农村经济研究中心预算管理办法》的规定</w:t>
      </w:r>
      <w:r>
        <w:rPr>
          <w:rFonts w:hint="eastAsia" w:ascii="仿宋_GB2312" w:hAnsi="仿宋_GB2312" w:eastAsia="仿宋_GB2312" w:cs="仿宋_GB2312"/>
          <w:color w:val="000000"/>
          <w:kern w:val="0"/>
          <w:sz w:val="32"/>
          <w:szCs w:val="32"/>
          <w:lang w:val="en-US" w:eastAsia="zh-CN" w:bidi="ar-SA"/>
        </w:rPr>
        <w:t>编制</w:t>
      </w:r>
      <w:r>
        <w:rPr>
          <w:rFonts w:hint="default" w:ascii="仿宋_GB2312" w:hAnsi="仿宋_GB2312" w:eastAsia="仿宋_GB2312" w:cs="仿宋_GB2312"/>
          <w:color w:val="000000"/>
          <w:kern w:val="0"/>
          <w:sz w:val="32"/>
          <w:szCs w:val="32"/>
          <w:lang w:bidi="ar-SA"/>
        </w:rPr>
        <w:t>预算，并对各项目的预算</w:t>
      </w:r>
      <w:r>
        <w:rPr>
          <w:rFonts w:hint="eastAsia" w:ascii="仿宋_GB2312" w:hAnsi="仿宋_GB2312" w:eastAsia="仿宋_GB2312" w:cs="仿宋_GB2312"/>
          <w:color w:val="000000"/>
          <w:kern w:val="0"/>
          <w:sz w:val="32"/>
          <w:szCs w:val="32"/>
          <w:lang w:val="en-US" w:eastAsia="zh-CN" w:bidi="ar-SA"/>
        </w:rPr>
        <w:t>金额</w:t>
      </w:r>
      <w:r>
        <w:rPr>
          <w:rFonts w:hint="default" w:ascii="仿宋_GB2312" w:hAnsi="仿宋_GB2312" w:eastAsia="仿宋_GB2312" w:cs="仿宋_GB2312"/>
          <w:color w:val="000000"/>
          <w:kern w:val="0"/>
          <w:sz w:val="32"/>
          <w:szCs w:val="32"/>
          <w:lang w:bidi="ar-SA"/>
        </w:rPr>
        <w:t>进行</w:t>
      </w:r>
      <w:r>
        <w:rPr>
          <w:rFonts w:hint="eastAsia" w:ascii="仿宋_GB2312" w:hAnsi="仿宋_GB2312" w:eastAsia="仿宋_GB2312" w:cs="仿宋_GB2312"/>
          <w:color w:val="000000"/>
          <w:kern w:val="0"/>
          <w:sz w:val="32"/>
          <w:szCs w:val="32"/>
          <w:lang w:val="en-US" w:eastAsia="zh-CN" w:bidi="ar-SA"/>
        </w:rPr>
        <w:t>评审</w:t>
      </w:r>
      <w:r>
        <w:rPr>
          <w:rFonts w:hint="default" w:ascii="仿宋_GB2312" w:hAnsi="仿宋_GB2312" w:eastAsia="仿宋_GB2312" w:cs="仿宋_GB2312"/>
          <w:color w:val="000000"/>
          <w:kern w:val="0"/>
          <w:sz w:val="32"/>
          <w:szCs w:val="32"/>
          <w:lang w:bidi="ar-SA"/>
        </w:rPr>
        <w:t>，确保预算分配的合理性和科学性。</w:t>
      </w:r>
      <w:r>
        <w:rPr>
          <w:rFonts w:hint="eastAsia" w:ascii="仿宋_GB2312" w:hAnsi="仿宋_GB2312" w:eastAsia="仿宋_GB2312" w:cs="仿宋_GB2312"/>
          <w:bCs w:val="0"/>
          <w:color w:val="000000"/>
          <w:kern w:val="0"/>
          <w:sz w:val="32"/>
          <w:szCs w:val="32"/>
        </w:rPr>
        <w:t>经费支出控制在预算批复范围内，各项支出</w:t>
      </w:r>
      <w:r>
        <w:rPr>
          <w:rFonts w:hint="eastAsia" w:ascii="仿宋_GB2312" w:hAnsi="仿宋_GB2312" w:eastAsia="仿宋_GB2312" w:cs="仿宋_GB2312"/>
          <w:bCs w:val="0"/>
          <w:color w:val="000000"/>
          <w:kern w:val="0"/>
          <w:sz w:val="32"/>
          <w:szCs w:val="32"/>
          <w:lang w:val="en-US" w:eastAsia="zh-CN"/>
        </w:rPr>
        <w:t>严格履行《</w:t>
      </w:r>
      <w:r>
        <w:rPr>
          <w:rFonts w:hint="eastAsia" w:ascii="仿宋_GB2312" w:hAnsi="仿宋_GB2312" w:eastAsia="仿宋_GB2312" w:cs="仿宋_GB2312"/>
          <w:bCs w:val="0"/>
          <w:color w:val="000000"/>
          <w:kern w:val="0"/>
          <w:sz w:val="32"/>
          <w:szCs w:val="32"/>
        </w:rPr>
        <w:t>北京市农村经济研究中心经费资金支出管理办法（试行）</w:t>
      </w:r>
      <w:r>
        <w:rPr>
          <w:rFonts w:hint="eastAsia" w:ascii="仿宋_GB2312" w:hAnsi="仿宋_GB2312" w:eastAsia="仿宋_GB2312" w:cs="仿宋_GB2312"/>
          <w:bCs w:val="0"/>
          <w:color w:val="000000"/>
          <w:kern w:val="0"/>
          <w:sz w:val="32"/>
          <w:szCs w:val="32"/>
          <w:lang w:eastAsia="zh-CN"/>
        </w:rPr>
        <w:t>》</w:t>
      </w:r>
      <w:r>
        <w:rPr>
          <w:rFonts w:hint="eastAsia" w:ascii="仿宋_GB2312" w:hAnsi="仿宋_GB2312" w:eastAsia="仿宋_GB2312" w:cs="仿宋_GB2312"/>
          <w:bCs w:val="0"/>
          <w:color w:val="000000"/>
          <w:kern w:val="0"/>
          <w:sz w:val="32"/>
          <w:szCs w:val="32"/>
          <w:lang w:val="en-US" w:eastAsia="zh-CN"/>
        </w:rPr>
        <w:t>对资金支出的</w:t>
      </w:r>
      <w:r>
        <w:rPr>
          <w:rFonts w:hint="eastAsia" w:ascii="仿宋_GB2312" w:hAnsi="仿宋_GB2312" w:eastAsia="仿宋_GB2312" w:cs="仿宋_GB2312"/>
          <w:bCs w:val="0"/>
          <w:color w:val="000000"/>
          <w:kern w:val="0"/>
          <w:sz w:val="32"/>
          <w:szCs w:val="32"/>
        </w:rPr>
        <w:t>内部审批程序，资金使用符合国家财经法规和财务管理规定，资金管理安全。市农研中心资金支出按照内部管理制度执行，未发现资金有超范围、超标准支出的情况，资金审批手续规范。</w:t>
      </w:r>
    </w:p>
    <w:p>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outlineLvl w:val="2"/>
        <w:rPr>
          <w:rFonts w:hint="eastAsia" w:ascii="仿宋_GB2312" w:hAnsi="仿宋_GB2312" w:eastAsia="仿宋_GB2312" w:cs="仿宋_GB2312"/>
          <w:b w:val="0"/>
          <w:bCs w:val="0"/>
          <w:color w:val="auto"/>
          <w:kern w:val="2"/>
          <w:sz w:val="32"/>
          <w:szCs w:val="32"/>
        </w:rPr>
      </w:pPr>
      <w:r>
        <w:rPr>
          <w:rFonts w:hint="eastAsia" w:ascii="仿宋_GB2312" w:hAnsi="仿宋_GB2312" w:eastAsia="仿宋_GB2312" w:cs="仿宋_GB2312"/>
          <w:b w:val="0"/>
          <w:bCs w:val="0"/>
          <w:color w:val="auto"/>
          <w:kern w:val="2"/>
          <w:sz w:val="32"/>
          <w:szCs w:val="32"/>
        </w:rPr>
        <w:t>3.会计基础信息完善性</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bCs w:val="0"/>
          <w:color w:val="000000"/>
          <w:kern w:val="0"/>
          <w:sz w:val="32"/>
          <w:szCs w:val="32"/>
          <w:lang w:val="en-US" w:eastAsia="zh-CN"/>
        </w:rPr>
      </w:pPr>
      <w:r>
        <w:rPr>
          <w:rFonts w:hint="eastAsia" w:ascii="仿宋_GB2312" w:hAnsi="仿宋_GB2312" w:eastAsia="仿宋_GB2312" w:cs="仿宋_GB2312"/>
          <w:color w:val="000000"/>
          <w:kern w:val="0"/>
          <w:sz w:val="32"/>
          <w:szCs w:val="32"/>
        </w:rPr>
        <w:t>根据政府会计改革要求，实施新政府会计准则制度。严格按照《财政部关于贯彻实施政府会计准则制度的通知》</w:t>
      </w:r>
      <w:r>
        <w:rPr>
          <w:rFonts w:hint="eastAsia" w:ascii="仿宋_GB2312" w:hAnsi="仿宋_GB2312" w:eastAsia="仿宋_GB2312" w:cs="仿宋_GB2312"/>
          <w:bCs w:val="0"/>
          <w:color w:val="000000"/>
          <w:kern w:val="0"/>
          <w:sz w:val="32"/>
          <w:szCs w:val="32"/>
        </w:rPr>
        <w:t>和市级财政部门的相关要求</w:t>
      </w:r>
      <w:r>
        <w:rPr>
          <w:rFonts w:hint="eastAsia" w:ascii="仿宋_GB2312" w:hAnsi="仿宋_GB2312" w:eastAsia="仿宋_GB2312" w:cs="仿宋_GB2312"/>
          <w:bCs w:val="0"/>
          <w:color w:val="000000"/>
          <w:kern w:val="0"/>
          <w:sz w:val="32"/>
          <w:szCs w:val="32"/>
          <w:lang w:val="en-US" w:eastAsia="zh-CN"/>
        </w:rPr>
        <w:t>编制会计账簿、会计报表及财务报告。市农研中心建立《北京市农村经济研究中心货币资金管理办法（试行）》对货币资金及银行账户加强管理；设置各类明细账，总分类账加强对资金使用的控制；设置固定资产台账了解固定资产使用情况；按照《北京市农村经济研究中心会计档案管理办法（试行）》对会计资料归档保存；并实行会计定期轮岗制度防范风险，</w:t>
      </w:r>
      <w:r>
        <w:rPr>
          <w:rFonts w:hint="eastAsia" w:ascii="仿宋_GB2312" w:hAnsi="仿宋_GB2312" w:eastAsia="仿宋_GB2312" w:cs="仿宋_GB2312"/>
          <w:color w:val="000000"/>
          <w:kern w:val="0"/>
          <w:sz w:val="32"/>
          <w:szCs w:val="32"/>
        </w:rPr>
        <w:t>有效保障会计基础信息</w:t>
      </w:r>
      <w:r>
        <w:rPr>
          <w:rFonts w:hint="eastAsia" w:ascii="仿宋_GB2312" w:hAnsi="仿宋_GB2312" w:eastAsia="仿宋_GB2312" w:cs="仿宋_GB2312"/>
          <w:color w:val="000000"/>
          <w:kern w:val="0"/>
          <w:sz w:val="32"/>
          <w:szCs w:val="32"/>
          <w:lang w:val="en-US" w:eastAsia="zh-CN"/>
        </w:rPr>
        <w:t>的真实和完整</w:t>
      </w:r>
      <w:r>
        <w:rPr>
          <w:rFonts w:hint="eastAsia" w:ascii="仿宋_GB2312" w:hAnsi="仿宋_GB2312" w:eastAsia="仿宋_GB2312" w:cs="仿宋_GB2312"/>
          <w:color w:val="000000"/>
          <w:kern w:val="0"/>
          <w:sz w:val="32"/>
          <w:szCs w:val="32"/>
          <w:lang w:eastAsia="zh-CN"/>
        </w:rPr>
        <w:t>。</w:t>
      </w:r>
    </w:p>
    <w:p>
      <w:pPr>
        <w:widowControl/>
        <w:numPr>
          <w:ilvl w:val="0"/>
          <w:numId w:val="0"/>
        </w:numPr>
        <w:spacing w:line="240" w:lineRule="auto"/>
        <w:ind w:left="0" w:leftChars="0" w:firstLine="640" w:firstLineChars="200"/>
        <w:outlineLvl w:val="9"/>
        <w:rPr>
          <w:rFonts w:hint="eastAsia" w:ascii="楷体_GB2312" w:hAnsi="Calibri" w:eastAsia="楷体_GB2312"/>
          <w:b w:val="0"/>
          <w:bCs w:val="0"/>
          <w:sz w:val="32"/>
          <w:szCs w:val="32"/>
        </w:rPr>
      </w:pPr>
      <w:r>
        <w:rPr>
          <w:rFonts w:hint="eastAsia" w:ascii="楷体_GB2312" w:hAnsi="Calibri" w:eastAsia="楷体_GB2312"/>
          <w:b w:val="0"/>
          <w:bCs w:val="0"/>
          <w:sz w:val="32"/>
          <w:szCs w:val="32"/>
        </w:rPr>
        <w:t>（二）资产管理</w:t>
      </w:r>
    </w:p>
    <w:p>
      <w:pPr>
        <w:keepNext w:val="0"/>
        <w:keepLines w:val="0"/>
        <w:pageBreakBefore w:val="0"/>
        <w:kinsoku/>
        <w:wordWrap/>
        <w:overflowPunct/>
        <w:topLinePunct w:val="0"/>
        <w:autoSpaceDE/>
        <w:autoSpaceDN/>
        <w:bidi w:val="0"/>
        <w:adjustRightInd/>
        <w:spacing w:line="560" w:lineRule="exact"/>
        <w:ind w:right="0" w:firstLine="640" w:firstLineChars="200"/>
        <w:textAlignment w:val="auto"/>
        <w:outlineLvl w:val="2"/>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1.资产管理情况</w:t>
      </w:r>
    </w:p>
    <w:p>
      <w:pPr>
        <w:keepNext w:val="0"/>
        <w:keepLines w:val="0"/>
        <w:pageBreakBefore w:val="0"/>
        <w:widowControl w:val="0"/>
        <w:numPr>
          <w:ilvl w:val="0"/>
          <w:numId w:val="0"/>
        </w:numPr>
        <w:suppressLineNumbers w:val="0"/>
        <w:kinsoku/>
        <w:wordWrap/>
        <w:overflowPunct/>
        <w:topLinePunct w:val="0"/>
        <w:autoSpaceDE/>
        <w:autoSpaceDN/>
        <w:bidi w:val="0"/>
        <w:adjustRightInd/>
        <w:spacing w:line="560" w:lineRule="exact"/>
        <w:ind w:firstLine="640" w:firstLineChars="200"/>
        <w:jc w:val="left"/>
        <w:textAlignment w:val="auto"/>
        <w:outlineLvl w:val="9"/>
        <w:rPr>
          <w:rFonts w:hint="eastAsia" w:ascii="仿宋_GB2312" w:hAnsi="仿宋_GB2312" w:eastAsia="仿宋_GB2312" w:cs="仿宋_GB2312"/>
          <w:color w:val="000000"/>
          <w:kern w:val="0"/>
          <w:sz w:val="32"/>
          <w:szCs w:val="32"/>
          <w:lang w:eastAsia="zh-CN"/>
        </w:rPr>
      </w:pPr>
      <w:r>
        <w:rPr>
          <w:rFonts w:hint="eastAsia" w:ascii="仿宋_GB2312" w:hAnsi="仿宋_GB2312" w:eastAsia="仿宋_GB2312" w:cs="仿宋_GB2312"/>
          <w:bCs w:val="0"/>
          <w:color w:val="000000"/>
          <w:kern w:val="0"/>
          <w:sz w:val="32"/>
          <w:szCs w:val="32"/>
        </w:rPr>
        <w:t>市农研中心</w:t>
      </w:r>
      <w:r>
        <w:rPr>
          <w:rFonts w:hint="eastAsia" w:ascii="仿宋_GB2312" w:hAnsi="仿宋_GB2312" w:eastAsia="仿宋_GB2312" w:cs="仿宋_GB2312"/>
          <w:color w:val="000000"/>
          <w:kern w:val="0"/>
          <w:sz w:val="32"/>
          <w:szCs w:val="32"/>
        </w:rPr>
        <w:t>严格贯彻落实《行政</w:t>
      </w:r>
      <w:r>
        <w:rPr>
          <w:rFonts w:hint="eastAsia" w:ascii="仿宋_GB2312" w:hAnsi="仿宋_GB2312" w:eastAsia="仿宋_GB2312" w:cs="仿宋_GB2312"/>
          <w:color w:val="000000"/>
          <w:kern w:val="0"/>
          <w:sz w:val="32"/>
          <w:szCs w:val="32"/>
          <w:lang w:eastAsia="zh-CN"/>
        </w:rPr>
        <w:t>单位</w:t>
      </w:r>
      <w:r>
        <w:rPr>
          <w:rFonts w:hint="eastAsia" w:ascii="仿宋_GB2312" w:hAnsi="仿宋_GB2312" w:eastAsia="仿宋_GB2312" w:cs="仿宋_GB2312"/>
          <w:color w:val="000000"/>
          <w:kern w:val="0"/>
          <w:sz w:val="32"/>
          <w:szCs w:val="32"/>
        </w:rPr>
        <w:t>国有资产管理暂行办法》（财政部令第35号）</w:t>
      </w:r>
      <w:r>
        <w:rPr>
          <w:rFonts w:hint="eastAsia" w:ascii="仿宋_GB2312" w:hAnsi="仿宋_GB2312" w:eastAsia="仿宋_GB2312" w:cs="仿宋_GB2312"/>
          <w:color w:val="000000"/>
          <w:kern w:val="0"/>
          <w:sz w:val="32"/>
          <w:szCs w:val="32"/>
          <w:lang w:eastAsia="zh-CN"/>
        </w:rPr>
        <w:t>、</w:t>
      </w:r>
      <w:r>
        <w:rPr>
          <w:rFonts w:hint="eastAsia" w:ascii="仿宋_GB2312" w:hAnsi="仿宋_GB2312" w:eastAsia="仿宋_GB2312" w:cs="仿宋_GB2312"/>
          <w:color w:val="000000"/>
          <w:kern w:val="0"/>
          <w:sz w:val="32"/>
          <w:szCs w:val="32"/>
        </w:rPr>
        <w:t>《事业</w:t>
      </w:r>
      <w:r>
        <w:rPr>
          <w:rFonts w:hint="eastAsia" w:ascii="仿宋_GB2312" w:hAnsi="仿宋_GB2312" w:eastAsia="仿宋_GB2312" w:cs="仿宋_GB2312"/>
          <w:color w:val="000000"/>
          <w:kern w:val="0"/>
          <w:sz w:val="32"/>
          <w:szCs w:val="32"/>
          <w:lang w:eastAsia="zh-CN"/>
        </w:rPr>
        <w:t>单位</w:t>
      </w:r>
      <w:r>
        <w:rPr>
          <w:rFonts w:hint="eastAsia" w:ascii="仿宋_GB2312" w:hAnsi="仿宋_GB2312" w:eastAsia="仿宋_GB2312" w:cs="仿宋_GB2312"/>
          <w:color w:val="000000"/>
          <w:kern w:val="0"/>
          <w:sz w:val="32"/>
          <w:szCs w:val="32"/>
        </w:rPr>
        <w:t>国有资产管理暂行办法》（财政部令第36号）</w:t>
      </w:r>
      <w:r>
        <w:rPr>
          <w:rFonts w:hint="eastAsia" w:ascii="仿宋_GB2312" w:hAnsi="仿宋_GB2312" w:eastAsia="仿宋_GB2312" w:cs="仿宋_GB2312"/>
          <w:color w:val="000000"/>
          <w:kern w:val="0"/>
          <w:sz w:val="32"/>
          <w:szCs w:val="32"/>
          <w:lang w:val="en-US" w:eastAsia="zh-CN"/>
        </w:rPr>
        <w:t>等</w:t>
      </w:r>
      <w:r>
        <w:rPr>
          <w:rFonts w:hint="eastAsia" w:ascii="仿宋_GB2312" w:hAnsi="仿宋_GB2312" w:eastAsia="仿宋_GB2312" w:cs="仿宋_GB2312"/>
          <w:color w:val="000000"/>
          <w:kern w:val="0"/>
          <w:sz w:val="32"/>
          <w:szCs w:val="32"/>
        </w:rPr>
        <w:t>制度</w:t>
      </w:r>
      <w:r>
        <w:rPr>
          <w:rFonts w:hint="eastAsia" w:ascii="仿宋_GB2312" w:hAnsi="仿宋_GB2312" w:eastAsia="仿宋_GB2312" w:cs="仿宋_GB2312"/>
          <w:color w:val="000000"/>
          <w:kern w:val="0"/>
          <w:sz w:val="32"/>
          <w:szCs w:val="32"/>
          <w:lang w:val="en-US" w:eastAsia="zh-CN"/>
        </w:rPr>
        <w:t>要求</w:t>
      </w:r>
      <w:r>
        <w:rPr>
          <w:rFonts w:hint="eastAsia" w:ascii="仿宋_GB2312" w:hAnsi="仿宋_GB2312" w:eastAsia="仿宋_GB2312" w:cs="仿宋_GB2312"/>
          <w:color w:val="000000"/>
          <w:kern w:val="0"/>
          <w:sz w:val="32"/>
          <w:szCs w:val="32"/>
        </w:rPr>
        <w:t>，制定了《</w:t>
      </w:r>
      <w:r>
        <w:rPr>
          <w:rFonts w:hint="eastAsia" w:ascii="仿宋_GB2312" w:hAnsi="仿宋_GB2312" w:eastAsia="仿宋_GB2312" w:cs="仿宋_GB2312"/>
          <w:color w:val="000000"/>
          <w:kern w:val="0"/>
          <w:sz w:val="32"/>
          <w:szCs w:val="32"/>
          <w:lang w:val="en-US" w:eastAsia="zh-CN"/>
        </w:rPr>
        <w:t>北京市农村经济研究中心固定资产管理办法</w:t>
      </w:r>
      <w:r>
        <w:rPr>
          <w:rFonts w:hint="eastAsia" w:ascii="仿宋_GB2312" w:hAnsi="仿宋_GB2312" w:eastAsia="仿宋_GB2312" w:cs="仿宋_GB2312"/>
          <w:bCs w:val="0"/>
          <w:color w:val="000000"/>
          <w:kern w:val="0"/>
          <w:sz w:val="32"/>
          <w:szCs w:val="32"/>
          <w:lang w:eastAsia="zh-CN"/>
        </w:rPr>
        <w:t>（</w:t>
      </w:r>
      <w:r>
        <w:rPr>
          <w:rFonts w:hint="eastAsia" w:ascii="仿宋_GB2312" w:hAnsi="仿宋_GB2312" w:eastAsia="仿宋_GB2312" w:cs="仿宋_GB2312"/>
          <w:bCs w:val="0"/>
          <w:color w:val="000000"/>
          <w:kern w:val="0"/>
          <w:sz w:val="32"/>
          <w:szCs w:val="32"/>
          <w:lang w:val="en-US" w:eastAsia="zh-CN"/>
        </w:rPr>
        <w:t>试行）</w:t>
      </w:r>
      <w:r>
        <w:rPr>
          <w:rFonts w:hint="eastAsia" w:ascii="仿宋_GB2312" w:hAnsi="仿宋_GB2312" w:eastAsia="仿宋_GB2312" w:cs="仿宋_GB2312"/>
          <w:color w:val="000000"/>
          <w:kern w:val="0"/>
          <w:sz w:val="32"/>
          <w:szCs w:val="32"/>
        </w:rPr>
        <w:t>》</w:t>
      </w:r>
      <w:r>
        <w:rPr>
          <w:rFonts w:hint="eastAsia" w:ascii="仿宋_GB2312" w:hAnsi="仿宋_GB2312" w:eastAsia="仿宋_GB2312" w:cs="仿宋_GB2312"/>
          <w:color w:val="000000"/>
          <w:kern w:val="0"/>
          <w:sz w:val="32"/>
          <w:szCs w:val="32"/>
          <w:lang w:val="en-US" w:eastAsia="zh-CN"/>
        </w:rPr>
        <w:t>《北京市农村经济研究中心经费资金支出管理办法（试行）》等资产管理办法，明确管理措施、</w:t>
      </w:r>
      <w:r>
        <w:rPr>
          <w:rFonts w:hint="eastAsia" w:ascii="仿宋_GB2312" w:hAnsi="仿宋_GB2312" w:eastAsia="仿宋_GB2312" w:cs="仿宋_GB2312"/>
          <w:color w:val="000000"/>
          <w:kern w:val="0"/>
          <w:sz w:val="32"/>
          <w:szCs w:val="32"/>
        </w:rPr>
        <w:t>细化资产管理流程，认真履行国有资产管理职责</w:t>
      </w:r>
      <w:r>
        <w:rPr>
          <w:rFonts w:hint="eastAsia" w:ascii="仿宋_GB2312" w:hAnsi="仿宋_GB2312" w:eastAsia="仿宋_GB2312" w:cs="仿宋_GB2312"/>
          <w:color w:val="000000"/>
          <w:kern w:val="0"/>
          <w:sz w:val="32"/>
          <w:szCs w:val="32"/>
          <w:lang w:eastAsia="zh-CN"/>
        </w:rPr>
        <w:t>，</w:t>
      </w:r>
      <w:r>
        <w:rPr>
          <w:rFonts w:hint="eastAsia" w:ascii="仿宋_GB2312" w:hAnsi="仿宋_GB2312" w:eastAsia="仿宋_GB2312" w:cs="仿宋_GB2312"/>
          <w:color w:val="000000"/>
          <w:kern w:val="0"/>
          <w:sz w:val="32"/>
          <w:szCs w:val="32"/>
          <w:lang w:val="en-US" w:eastAsia="zh-CN"/>
        </w:rPr>
        <w:t>强化</w:t>
      </w:r>
      <w:r>
        <w:rPr>
          <w:rFonts w:hint="eastAsia" w:ascii="仿宋_GB2312" w:hAnsi="仿宋_GB2312" w:eastAsia="仿宋_GB2312" w:cs="仿宋_GB2312"/>
          <w:color w:val="000000"/>
          <w:kern w:val="0"/>
          <w:sz w:val="32"/>
          <w:szCs w:val="32"/>
        </w:rPr>
        <w:t>资产管理</w:t>
      </w:r>
      <w:r>
        <w:rPr>
          <w:rFonts w:hint="eastAsia" w:ascii="仿宋_GB2312" w:hAnsi="仿宋_GB2312" w:eastAsia="仿宋_GB2312" w:cs="仿宋_GB2312"/>
          <w:color w:val="000000"/>
          <w:kern w:val="0"/>
          <w:sz w:val="32"/>
          <w:szCs w:val="32"/>
          <w:lang w:val="en-US" w:eastAsia="zh-CN"/>
        </w:rPr>
        <w:t>水平</w:t>
      </w:r>
      <w:r>
        <w:rPr>
          <w:rFonts w:hint="eastAsia" w:ascii="仿宋_GB2312" w:hAnsi="仿宋_GB2312" w:eastAsia="仿宋_GB2312" w:cs="仿宋_GB2312"/>
          <w:color w:val="000000"/>
          <w:kern w:val="0"/>
          <w:sz w:val="32"/>
          <w:szCs w:val="32"/>
        </w:rPr>
        <w:t>，保证国有资产的安全、完整</w:t>
      </w:r>
      <w:r>
        <w:rPr>
          <w:rFonts w:hint="eastAsia" w:ascii="仿宋_GB2312" w:hAnsi="仿宋_GB2312" w:eastAsia="仿宋_GB2312" w:cs="仿宋_GB2312"/>
          <w:color w:val="000000"/>
          <w:kern w:val="0"/>
          <w:sz w:val="32"/>
          <w:szCs w:val="32"/>
          <w:lang w:eastAsia="zh-CN"/>
        </w:rPr>
        <w:t>。</w:t>
      </w:r>
    </w:p>
    <w:p>
      <w:pPr>
        <w:keepNext w:val="0"/>
        <w:keepLines w:val="0"/>
        <w:pageBreakBefore w:val="0"/>
        <w:kinsoku/>
        <w:wordWrap/>
        <w:overflowPunct/>
        <w:topLinePunct w:val="0"/>
        <w:autoSpaceDE/>
        <w:autoSpaceDN/>
        <w:bidi w:val="0"/>
        <w:adjustRightInd/>
        <w:spacing w:line="560" w:lineRule="exact"/>
        <w:ind w:right="0" w:firstLine="640" w:firstLineChars="200"/>
        <w:textAlignment w:val="auto"/>
        <w:outlineLvl w:val="2"/>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2.资产总体情况</w:t>
      </w:r>
    </w:p>
    <w:p>
      <w:pPr>
        <w:numPr>
          <w:ilvl w:val="0"/>
          <w:numId w:val="0"/>
        </w:numPr>
        <w:spacing w:line="560" w:lineRule="exact"/>
        <w:ind w:firstLine="640" w:firstLineChars="200"/>
        <w:outlineLvl w:val="9"/>
        <w:rPr>
          <w:rFonts w:hint="eastAsia" w:ascii="仿宋_GB2312" w:hAnsi="仿宋_GB2312" w:eastAsia="仿宋_GB2312" w:cs="仿宋_GB2312"/>
          <w:b w:val="0"/>
          <w:bCs w:val="0"/>
          <w:color w:val="000000"/>
          <w:kern w:val="0"/>
          <w:sz w:val="32"/>
          <w:szCs w:val="32"/>
          <w:highlight w:val="none"/>
        </w:rPr>
      </w:pPr>
      <w:r>
        <w:rPr>
          <w:rFonts w:hint="eastAsia" w:ascii="仿宋_GB2312" w:hAnsi="仿宋_GB2312" w:eastAsia="仿宋_GB2312" w:cs="仿宋_GB2312"/>
          <w:bCs w:val="0"/>
          <w:color w:val="000000"/>
          <w:kern w:val="0"/>
          <w:sz w:val="32"/>
          <w:szCs w:val="32"/>
          <w:highlight w:val="none"/>
        </w:rPr>
        <w:t>截至202</w:t>
      </w:r>
      <w:r>
        <w:rPr>
          <w:rFonts w:hint="eastAsia" w:ascii="仿宋_GB2312" w:hAnsi="仿宋_GB2312" w:eastAsia="仿宋_GB2312" w:cs="仿宋_GB2312"/>
          <w:bCs w:val="0"/>
          <w:color w:val="000000"/>
          <w:kern w:val="0"/>
          <w:sz w:val="32"/>
          <w:szCs w:val="32"/>
          <w:highlight w:val="none"/>
          <w:lang w:val="en-US" w:eastAsia="zh-CN"/>
        </w:rPr>
        <w:t>4</w:t>
      </w:r>
      <w:r>
        <w:rPr>
          <w:rFonts w:hint="eastAsia" w:ascii="仿宋_GB2312" w:hAnsi="仿宋_GB2312" w:eastAsia="仿宋_GB2312" w:cs="仿宋_GB2312"/>
          <w:bCs w:val="0"/>
          <w:color w:val="000000"/>
          <w:kern w:val="0"/>
          <w:sz w:val="32"/>
          <w:szCs w:val="32"/>
          <w:highlight w:val="none"/>
        </w:rPr>
        <w:t>年12月31日，市农研中心资产总额1,549.75万元，其中：流动资产829.34万元</w:t>
      </w:r>
      <w:r>
        <w:rPr>
          <w:rFonts w:hint="eastAsia" w:ascii="仿宋_GB2312" w:hAnsi="仿宋_GB2312" w:eastAsia="仿宋_GB2312" w:cs="仿宋_GB2312"/>
          <w:bCs w:val="0"/>
          <w:color w:val="000000"/>
          <w:kern w:val="0"/>
          <w:sz w:val="32"/>
          <w:szCs w:val="32"/>
          <w:highlight w:val="none"/>
          <w:lang w:eastAsia="zh-CN"/>
        </w:rPr>
        <w:t>，</w:t>
      </w:r>
      <w:r>
        <w:rPr>
          <w:rFonts w:hint="eastAsia" w:ascii="仿宋_GB2312" w:hAnsi="仿宋_GB2312" w:eastAsia="仿宋_GB2312" w:cs="仿宋_GB2312"/>
          <w:bCs w:val="0"/>
          <w:color w:val="000000"/>
          <w:kern w:val="0"/>
          <w:sz w:val="32"/>
          <w:szCs w:val="32"/>
          <w:highlight w:val="none"/>
        </w:rPr>
        <w:t>固定资产627.94万元</w:t>
      </w:r>
      <w:r>
        <w:rPr>
          <w:rFonts w:hint="eastAsia" w:ascii="仿宋_GB2312" w:hAnsi="仿宋_GB2312" w:eastAsia="仿宋_GB2312" w:cs="仿宋_GB2312"/>
          <w:bCs w:val="0"/>
          <w:color w:val="000000"/>
          <w:kern w:val="0"/>
          <w:sz w:val="32"/>
          <w:szCs w:val="32"/>
          <w:highlight w:val="none"/>
          <w:lang w:eastAsia="zh-CN"/>
        </w:rPr>
        <w:t>，</w:t>
      </w:r>
      <w:r>
        <w:rPr>
          <w:rFonts w:hint="eastAsia" w:ascii="仿宋_GB2312" w:hAnsi="仿宋_GB2312" w:eastAsia="仿宋_GB2312" w:cs="仿宋_GB2312"/>
          <w:bCs w:val="0"/>
          <w:color w:val="000000"/>
          <w:kern w:val="0"/>
          <w:sz w:val="32"/>
          <w:szCs w:val="32"/>
          <w:highlight w:val="none"/>
        </w:rPr>
        <w:t>无形资产92.48万元。</w:t>
      </w:r>
      <w:r>
        <w:rPr>
          <w:rFonts w:hint="eastAsia" w:ascii="仿宋_GB2312" w:hAnsi="仿宋_GB2312" w:eastAsia="仿宋_GB2312" w:cs="仿宋_GB2312"/>
          <w:color w:val="000000"/>
          <w:kern w:val="0"/>
          <w:sz w:val="32"/>
          <w:szCs w:val="32"/>
          <w:highlight w:val="none"/>
        </w:rPr>
        <w:t>无在建工程、长期投资、公共基础设施、政府储备物资、文物文化资产、保障性住房等其他类资产</w:t>
      </w:r>
      <w:r>
        <w:rPr>
          <w:rFonts w:hint="eastAsia" w:ascii="仿宋_GB2312" w:hAnsi="仿宋_GB2312" w:eastAsia="仿宋_GB2312" w:cs="仿宋_GB2312"/>
          <w:color w:val="000000"/>
          <w:kern w:val="0"/>
          <w:sz w:val="32"/>
          <w:szCs w:val="32"/>
          <w:highlight w:val="none"/>
          <w:lang w:eastAsia="zh-CN"/>
        </w:rPr>
        <w:t>。</w:t>
      </w:r>
      <w:r>
        <w:rPr>
          <w:rFonts w:hint="eastAsia" w:ascii="仿宋_GB2312" w:hAnsi="仿宋_GB2312" w:eastAsia="仿宋_GB2312" w:cs="仿宋_GB2312"/>
          <w:color w:val="000000"/>
          <w:kern w:val="0"/>
          <w:sz w:val="32"/>
          <w:szCs w:val="32"/>
          <w:highlight w:val="none"/>
        </w:rPr>
        <w:t>按照使用情况分，全部为自用，不涉及出租出借资产、对外投资资产、资产收益等情况</w:t>
      </w:r>
      <w:r>
        <w:rPr>
          <w:rFonts w:hint="eastAsia" w:ascii="仿宋_GB2312" w:hAnsi="仿宋_GB2312" w:eastAsia="仿宋_GB2312" w:cs="仿宋_GB2312"/>
          <w:color w:val="000000"/>
          <w:kern w:val="0"/>
          <w:sz w:val="32"/>
          <w:szCs w:val="32"/>
          <w:highlight w:val="none"/>
          <w:lang w:eastAsia="zh-CN"/>
        </w:rPr>
        <w:t>，</w:t>
      </w:r>
      <w:r>
        <w:rPr>
          <w:rFonts w:hint="eastAsia" w:ascii="仿宋_GB2312" w:hAnsi="仿宋_GB2312" w:eastAsia="仿宋_GB2312" w:cs="仿宋_GB2312"/>
          <w:color w:val="000000"/>
          <w:kern w:val="0"/>
          <w:sz w:val="32"/>
          <w:szCs w:val="32"/>
          <w:highlight w:val="none"/>
        </w:rPr>
        <w:t>资产</w:t>
      </w:r>
      <w:r>
        <w:rPr>
          <w:rFonts w:hint="eastAsia" w:ascii="仿宋_GB2312" w:hAnsi="仿宋_GB2312" w:eastAsia="仿宋_GB2312" w:cs="仿宋_GB2312"/>
          <w:color w:val="000000"/>
          <w:kern w:val="0"/>
          <w:sz w:val="32"/>
          <w:szCs w:val="32"/>
          <w:highlight w:val="none"/>
          <w:lang w:val="en-US" w:eastAsia="zh-CN"/>
        </w:rPr>
        <w:t>得到合理有效利用</w:t>
      </w:r>
      <w:r>
        <w:rPr>
          <w:rFonts w:hint="eastAsia" w:ascii="仿宋_GB2312" w:hAnsi="仿宋_GB2312" w:eastAsia="仿宋_GB2312" w:cs="仿宋_GB2312"/>
          <w:color w:val="000000"/>
          <w:kern w:val="0"/>
          <w:sz w:val="32"/>
          <w:szCs w:val="32"/>
          <w:highlight w:val="none"/>
        </w:rPr>
        <w:t>。</w:t>
      </w:r>
    </w:p>
    <w:p>
      <w:pPr>
        <w:keepNext w:val="0"/>
        <w:keepLines w:val="0"/>
        <w:pageBreakBefore w:val="0"/>
        <w:widowControl/>
        <w:numPr>
          <w:ilvl w:val="0"/>
          <w:numId w:val="0"/>
        </w:numPr>
        <w:kinsoku/>
        <w:wordWrap/>
        <w:overflowPunct/>
        <w:topLinePunct w:val="0"/>
        <w:autoSpaceDE/>
        <w:autoSpaceDN/>
        <w:bidi w:val="0"/>
        <w:adjustRightInd/>
        <w:snapToGrid/>
        <w:spacing w:line="240" w:lineRule="auto"/>
        <w:ind w:left="0" w:leftChars="0" w:firstLine="640" w:firstLineChars="200"/>
        <w:textAlignment w:val="auto"/>
        <w:outlineLvl w:val="9"/>
        <w:rPr>
          <w:rFonts w:hint="eastAsia" w:ascii="楷体_GB2312" w:hAnsi="Calibri" w:eastAsia="楷体_GB2312" w:cs="Times New Roman"/>
          <w:b w:val="0"/>
          <w:bCs w:val="0"/>
          <w:kern w:val="2"/>
          <w:sz w:val="32"/>
          <w:szCs w:val="32"/>
          <w:highlight w:val="none"/>
        </w:rPr>
      </w:pPr>
      <w:r>
        <w:rPr>
          <w:rFonts w:hint="eastAsia" w:ascii="楷体_GB2312" w:hAnsi="Calibri" w:eastAsia="楷体_GB2312" w:cs="Times New Roman"/>
          <w:b w:val="0"/>
          <w:bCs w:val="0"/>
          <w:kern w:val="2"/>
          <w:sz w:val="32"/>
          <w:szCs w:val="32"/>
          <w:highlight w:val="none"/>
        </w:rPr>
        <w:t>（三）绩效管理</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bCs w:val="0"/>
          <w:color w:val="000000"/>
          <w:kern w:val="0"/>
          <w:sz w:val="32"/>
          <w:szCs w:val="32"/>
          <w:highlight w:val="none"/>
        </w:rPr>
      </w:pPr>
      <w:r>
        <w:rPr>
          <w:rFonts w:hint="eastAsia" w:ascii="仿宋_GB2312" w:hAnsi="仿宋_GB2312" w:eastAsia="仿宋_GB2312" w:cs="仿宋_GB2312"/>
          <w:bCs w:val="0"/>
          <w:color w:val="000000"/>
          <w:kern w:val="0"/>
          <w:sz w:val="32"/>
          <w:szCs w:val="32"/>
          <w:highlight w:val="none"/>
        </w:rPr>
        <w:t>市农研中心根据市财政局关于“预算编制有目标、预算执行有监控、预算完成有评价、评价结果有反馈、反馈结果有应用”的预算绩效管理要求，不断推进全面预算绩效管理工作，由全过程绩效管理领导小组统筹领导预算绩效目标填报、预算绩效监控、预算绩效评价等工作。</w:t>
      </w:r>
    </w:p>
    <w:p>
      <w:pPr>
        <w:numPr>
          <w:ilvl w:val="0"/>
          <w:numId w:val="0"/>
        </w:numPr>
        <w:spacing w:line="560" w:lineRule="exact"/>
        <w:ind w:firstLine="640" w:firstLineChars="200"/>
        <w:outlineLvl w:val="9"/>
        <w:rPr>
          <w:rFonts w:hint="eastAsia" w:ascii="仿宋_GB2312" w:hAnsi="仿宋_GB2312" w:eastAsia="仿宋_GB2312" w:cs="仿宋_GB2312"/>
          <w:bCs w:val="0"/>
          <w:color w:val="000000"/>
          <w:kern w:val="0"/>
          <w:sz w:val="32"/>
          <w:szCs w:val="32"/>
          <w:lang w:val="en-US" w:eastAsia="zh-CN"/>
        </w:rPr>
      </w:pPr>
      <w:r>
        <w:rPr>
          <w:rFonts w:hint="eastAsia" w:ascii="仿宋_GB2312" w:hAnsi="仿宋_GB2312" w:eastAsia="仿宋_GB2312" w:cs="仿宋_GB2312"/>
          <w:bCs w:val="0"/>
          <w:color w:val="000000"/>
          <w:kern w:val="0"/>
          <w:sz w:val="32"/>
          <w:szCs w:val="32"/>
        </w:rPr>
        <w:t>市农研中心</w:t>
      </w:r>
      <w:r>
        <w:rPr>
          <w:rFonts w:hint="eastAsia" w:ascii="仿宋_GB2312" w:hAnsi="仿宋_GB2312" w:eastAsia="仿宋_GB2312" w:cs="仿宋_GB2312"/>
          <w:bCs w:val="0"/>
          <w:color w:val="000000"/>
          <w:kern w:val="0"/>
          <w:sz w:val="32"/>
          <w:szCs w:val="32"/>
          <w:highlight w:val="none"/>
        </w:rPr>
        <w:t>按照《</w:t>
      </w:r>
      <w:r>
        <w:rPr>
          <w:rFonts w:hint="eastAsia" w:ascii="仿宋_GB2312" w:hAnsi="仿宋_GB2312" w:eastAsia="仿宋_GB2312" w:cs="仿宋_GB2312"/>
          <w:bCs w:val="0"/>
          <w:color w:val="000000"/>
          <w:kern w:val="0"/>
          <w:sz w:val="32"/>
          <w:szCs w:val="32"/>
          <w:highlight w:val="none"/>
          <w:lang w:val="en-US" w:eastAsia="zh-CN"/>
        </w:rPr>
        <w:t>北京市财政局关于2025年预算绩效管理工作的通知</w:t>
      </w:r>
      <w:r>
        <w:rPr>
          <w:rFonts w:hint="eastAsia" w:ascii="仿宋_GB2312" w:hAnsi="仿宋_GB2312" w:eastAsia="仿宋_GB2312" w:cs="仿宋_GB2312"/>
          <w:bCs w:val="0"/>
          <w:color w:val="000000"/>
          <w:kern w:val="0"/>
          <w:sz w:val="32"/>
          <w:szCs w:val="32"/>
          <w:highlight w:val="none"/>
          <w:lang w:val="en" w:eastAsia="zh-CN"/>
        </w:rPr>
        <w:t>》</w:t>
      </w:r>
      <w:r>
        <w:rPr>
          <w:rFonts w:hint="eastAsia" w:ascii="仿宋_GB2312" w:hAnsi="仿宋_GB2312" w:eastAsia="仿宋_GB2312" w:cs="仿宋_GB2312"/>
          <w:bCs w:val="0"/>
          <w:color w:val="000000"/>
          <w:kern w:val="0"/>
          <w:sz w:val="32"/>
          <w:szCs w:val="32"/>
          <w:highlight w:val="none"/>
          <w:lang w:val="en-US" w:eastAsia="zh-CN"/>
        </w:rPr>
        <w:t>工作要求，</w:t>
      </w:r>
      <w:r>
        <w:rPr>
          <w:rFonts w:hint="eastAsia" w:ascii="仿宋_GB2312" w:hAnsi="仿宋_GB2312" w:eastAsia="仿宋_GB2312" w:cs="仿宋_GB2312"/>
          <w:bCs w:val="0"/>
          <w:color w:val="000000"/>
          <w:kern w:val="0"/>
          <w:sz w:val="32"/>
          <w:szCs w:val="32"/>
        </w:rPr>
        <w:t>对</w:t>
      </w:r>
      <w:r>
        <w:rPr>
          <w:rFonts w:hint="eastAsia" w:ascii="仿宋_GB2312" w:hAnsi="仿宋_GB2312" w:eastAsia="仿宋_GB2312" w:cs="仿宋_GB2312"/>
          <w:bCs w:val="0"/>
          <w:color w:val="000000"/>
          <w:kern w:val="0"/>
          <w:sz w:val="32"/>
          <w:szCs w:val="32"/>
          <w:lang w:val="en-US" w:eastAsia="zh-CN"/>
        </w:rPr>
        <w:t>2024年度</w:t>
      </w:r>
      <w:r>
        <w:rPr>
          <w:rFonts w:hint="eastAsia" w:ascii="仿宋_GB2312" w:hAnsi="仿宋_GB2312" w:eastAsia="仿宋_GB2312" w:cs="仿宋_GB2312"/>
          <w:bCs w:val="0"/>
          <w:color w:val="000000"/>
          <w:kern w:val="0"/>
          <w:sz w:val="32"/>
          <w:szCs w:val="32"/>
          <w:highlight w:val="none"/>
          <w:lang w:val="en-US" w:eastAsia="zh-CN"/>
        </w:rPr>
        <w:t>17</w:t>
      </w:r>
      <w:r>
        <w:rPr>
          <w:rFonts w:hint="eastAsia" w:ascii="仿宋_GB2312" w:hAnsi="仿宋_GB2312" w:eastAsia="仿宋_GB2312" w:cs="仿宋_GB2312"/>
          <w:bCs w:val="0"/>
          <w:color w:val="000000"/>
          <w:kern w:val="0"/>
          <w:sz w:val="32"/>
          <w:szCs w:val="32"/>
          <w:highlight w:val="none"/>
        </w:rPr>
        <w:t>个部门预算</w:t>
      </w:r>
      <w:r>
        <w:rPr>
          <w:rFonts w:hint="eastAsia" w:ascii="仿宋_GB2312" w:hAnsi="仿宋_GB2312" w:eastAsia="仿宋_GB2312" w:cs="仿宋_GB2312"/>
          <w:bCs w:val="0"/>
          <w:color w:val="000000"/>
          <w:kern w:val="0"/>
          <w:sz w:val="32"/>
          <w:szCs w:val="32"/>
        </w:rPr>
        <w:t>项目采用单位自评方式开展绩效评价，填写项目支出绩效自评表</w:t>
      </w:r>
      <w:r>
        <w:rPr>
          <w:rFonts w:hint="eastAsia" w:ascii="仿宋_GB2312" w:hAnsi="仿宋_GB2312" w:eastAsia="仿宋_GB2312" w:cs="仿宋_GB2312"/>
          <w:bCs w:val="0"/>
          <w:color w:val="000000"/>
          <w:kern w:val="0"/>
          <w:sz w:val="32"/>
          <w:szCs w:val="32"/>
          <w:lang w:eastAsia="zh-CN"/>
        </w:rPr>
        <w:t>。</w:t>
      </w:r>
      <w:r>
        <w:rPr>
          <w:rFonts w:hint="eastAsia" w:ascii="仿宋_GB2312" w:hAnsi="仿宋_GB2312" w:eastAsia="仿宋_GB2312" w:cs="仿宋_GB2312"/>
          <w:bCs w:val="0"/>
          <w:color w:val="000000"/>
          <w:kern w:val="0"/>
          <w:sz w:val="32"/>
          <w:szCs w:val="32"/>
          <w:lang w:val="en-US" w:eastAsia="zh-CN"/>
        </w:rPr>
        <w:t>对</w:t>
      </w:r>
      <w:r>
        <w:rPr>
          <w:rFonts w:hint="eastAsia" w:ascii="仿宋_GB2312" w:hAnsi="仿宋_GB2312" w:eastAsia="仿宋_GB2312" w:cs="仿宋_GB2312"/>
          <w:bCs w:val="0"/>
          <w:color w:val="000000"/>
          <w:kern w:val="0"/>
          <w:sz w:val="32"/>
          <w:szCs w:val="32"/>
          <w:highlight w:val="none"/>
        </w:rPr>
        <w:t>《</w:t>
      </w:r>
      <w:r>
        <w:rPr>
          <w:rFonts w:hint="eastAsia" w:ascii="仿宋_GB2312" w:hAnsi="仿宋_GB2312" w:eastAsia="仿宋_GB2312" w:cs="仿宋_GB2312"/>
          <w:bCs w:val="0"/>
          <w:color w:val="000000"/>
          <w:kern w:val="0"/>
          <w:sz w:val="32"/>
          <w:szCs w:val="32"/>
          <w:lang w:val="en-US" w:eastAsia="zh-CN"/>
        </w:rPr>
        <w:t>北京市乡村振兴专家咨询委员会专项经费</w:t>
      </w:r>
      <w:r>
        <w:rPr>
          <w:rFonts w:hint="eastAsia" w:ascii="仿宋_GB2312" w:hAnsi="仿宋_GB2312" w:eastAsia="仿宋_GB2312" w:cs="仿宋_GB2312"/>
          <w:bCs w:val="0"/>
          <w:color w:val="000000"/>
          <w:kern w:val="0"/>
          <w:sz w:val="32"/>
          <w:szCs w:val="32"/>
          <w:highlight w:val="none"/>
          <w:lang w:val="en" w:eastAsia="zh-CN"/>
        </w:rPr>
        <w:t>》</w:t>
      </w:r>
      <w:r>
        <w:rPr>
          <w:rFonts w:hint="eastAsia" w:ascii="仿宋_GB2312" w:hAnsi="仿宋_GB2312" w:eastAsia="仿宋_GB2312" w:cs="仿宋_GB2312"/>
          <w:bCs w:val="0"/>
          <w:color w:val="000000"/>
          <w:kern w:val="0"/>
          <w:sz w:val="32"/>
          <w:szCs w:val="32"/>
          <w:highlight w:val="none"/>
        </w:rPr>
        <w:t>《</w:t>
      </w:r>
      <w:r>
        <w:rPr>
          <w:rFonts w:hint="eastAsia" w:ascii="仿宋_GB2312" w:hAnsi="仿宋_GB2312" w:eastAsia="仿宋_GB2312" w:cs="仿宋_GB2312"/>
          <w:bCs w:val="0"/>
          <w:color w:val="000000"/>
          <w:kern w:val="0"/>
          <w:sz w:val="32"/>
          <w:szCs w:val="32"/>
          <w:lang w:val="en-US" w:eastAsia="zh-CN"/>
        </w:rPr>
        <w:t>北京郊区100个村集体经济运行状况跟踪监测项目</w:t>
      </w:r>
      <w:r>
        <w:rPr>
          <w:rFonts w:hint="eastAsia" w:ascii="仿宋_GB2312" w:hAnsi="仿宋_GB2312" w:eastAsia="仿宋_GB2312" w:cs="仿宋_GB2312"/>
          <w:bCs w:val="0"/>
          <w:color w:val="000000"/>
          <w:kern w:val="0"/>
          <w:sz w:val="32"/>
          <w:szCs w:val="32"/>
          <w:highlight w:val="none"/>
          <w:lang w:val="en" w:eastAsia="zh-CN"/>
        </w:rPr>
        <w:t>》</w:t>
      </w:r>
      <w:r>
        <w:rPr>
          <w:rFonts w:hint="eastAsia" w:ascii="仿宋_GB2312" w:hAnsi="仿宋_GB2312" w:eastAsia="仿宋_GB2312" w:cs="仿宋_GB2312"/>
          <w:bCs w:val="0"/>
          <w:color w:val="000000"/>
          <w:kern w:val="0"/>
          <w:sz w:val="32"/>
          <w:szCs w:val="32"/>
          <w:lang w:val="en-US" w:eastAsia="zh-CN"/>
        </w:rPr>
        <w:t>及</w:t>
      </w:r>
      <w:r>
        <w:rPr>
          <w:rFonts w:hint="eastAsia" w:ascii="仿宋_GB2312" w:hAnsi="仿宋_GB2312" w:eastAsia="仿宋_GB2312" w:cs="仿宋_GB2312"/>
          <w:bCs w:val="0"/>
          <w:color w:val="000000"/>
          <w:kern w:val="0"/>
          <w:sz w:val="32"/>
          <w:szCs w:val="32"/>
          <w:highlight w:val="none"/>
        </w:rPr>
        <w:t>《</w:t>
      </w:r>
      <w:r>
        <w:rPr>
          <w:rFonts w:hint="eastAsia" w:ascii="仿宋_GB2312" w:hAnsi="仿宋_GB2312" w:eastAsia="仿宋_GB2312" w:cs="仿宋_GB2312"/>
          <w:bCs w:val="0"/>
          <w:color w:val="000000"/>
          <w:kern w:val="0"/>
          <w:sz w:val="32"/>
          <w:szCs w:val="32"/>
          <w:lang w:val="en-US" w:eastAsia="zh-CN"/>
        </w:rPr>
        <w:t>北京市乡村空间高价值开发利用与乡村休闲旅游高质量发展</w:t>
      </w:r>
      <w:r>
        <w:rPr>
          <w:rFonts w:hint="eastAsia" w:ascii="仿宋_GB2312" w:hAnsi="仿宋_GB2312" w:eastAsia="仿宋_GB2312" w:cs="仿宋_GB2312"/>
          <w:bCs w:val="0"/>
          <w:color w:val="000000"/>
          <w:kern w:val="0"/>
          <w:sz w:val="32"/>
          <w:szCs w:val="32"/>
          <w:highlight w:val="none"/>
          <w:lang w:val="en" w:eastAsia="zh-CN"/>
        </w:rPr>
        <w:t>》</w:t>
      </w:r>
      <w:r>
        <w:rPr>
          <w:rFonts w:hint="eastAsia" w:ascii="仿宋_GB2312" w:hAnsi="仿宋_GB2312" w:eastAsia="仿宋_GB2312" w:cs="仿宋_GB2312"/>
          <w:bCs w:val="0"/>
          <w:color w:val="000000"/>
          <w:kern w:val="0"/>
          <w:sz w:val="32"/>
          <w:szCs w:val="32"/>
          <w:lang w:val="en-US" w:eastAsia="zh-CN"/>
        </w:rPr>
        <w:t>3个项目开展部门评价，出具绩效评价报告。</w:t>
      </w:r>
      <w:r>
        <w:rPr>
          <w:rFonts w:hint="eastAsia" w:ascii="仿宋_GB2312" w:hAnsi="仿宋_GB2312" w:eastAsia="仿宋_GB2312" w:cs="仿宋_GB2312"/>
          <w:bCs w:val="0"/>
          <w:color w:val="000000"/>
          <w:kern w:val="0"/>
          <w:sz w:val="32"/>
          <w:szCs w:val="32"/>
        </w:rPr>
        <w:t>从总体评价结果来看，各项目能够较好地按照预算申报的情况完成，绩效目标设定较为合理，各项目绩效目标及指标的完成情况较好，项目执行过程比较规范，项目效果基本达到预定目标。</w:t>
      </w:r>
    </w:p>
    <w:p>
      <w:pPr>
        <w:keepNext w:val="0"/>
        <w:keepLines w:val="0"/>
        <w:pageBreakBefore w:val="0"/>
        <w:widowControl/>
        <w:numPr>
          <w:ilvl w:val="0"/>
          <w:numId w:val="0"/>
        </w:numPr>
        <w:kinsoku/>
        <w:wordWrap/>
        <w:overflowPunct/>
        <w:topLinePunct w:val="0"/>
        <w:autoSpaceDE/>
        <w:autoSpaceDN/>
        <w:bidi w:val="0"/>
        <w:adjustRightInd/>
        <w:snapToGrid/>
        <w:spacing w:line="240" w:lineRule="auto"/>
        <w:ind w:left="0" w:leftChars="0" w:firstLine="640" w:firstLineChars="200"/>
        <w:textAlignment w:val="auto"/>
        <w:outlineLvl w:val="9"/>
        <w:rPr>
          <w:rFonts w:hint="eastAsia" w:ascii="楷体_GB2312" w:hAnsi="Calibri" w:eastAsia="楷体_GB2312" w:cs="Times New Roman"/>
          <w:b w:val="0"/>
          <w:bCs w:val="0"/>
          <w:kern w:val="2"/>
          <w:sz w:val="32"/>
          <w:szCs w:val="32"/>
          <w:highlight w:val="none"/>
        </w:rPr>
      </w:pPr>
      <w:r>
        <w:rPr>
          <w:rFonts w:hint="eastAsia" w:ascii="楷体_GB2312" w:hAnsi="Calibri" w:eastAsia="楷体_GB2312" w:cs="Times New Roman"/>
          <w:b w:val="0"/>
          <w:bCs w:val="0"/>
          <w:kern w:val="2"/>
          <w:sz w:val="32"/>
          <w:szCs w:val="32"/>
          <w:highlight w:val="none"/>
        </w:rPr>
        <w:t>（四）结转结余率</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bCs w:val="0"/>
          <w:color w:val="000000"/>
          <w:kern w:val="0"/>
          <w:sz w:val="32"/>
          <w:szCs w:val="32"/>
          <w:highlight w:val="none"/>
        </w:rPr>
      </w:pPr>
      <w:r>
        <w:rPr>
          <w:rFonts w:hint="eastAsia" w:ascii="仿宋_GB2312" w:hAnsi="仿宋_GB2312" w:eastAsia="仿宋_GB2312" w:cs="仿宋_GB2312"/>
          <w:bCs w:val="0"/>
          <w:color w:val="000000"/>
          <w:kern w:val="0"/>
          <w:sz w:val="32"/>
          <w:szCs w:val="32"/>
        </w:rPr>
        <w:t>市农研中心202</w:t>
      </w:r>
      <w:r>
        <w:rPr>
          <w:rFonts w:hint="eastAsia" w:ascii="仿宋_GB2312" w:hAnsi="仿宋_GB2312" w:eastAsia="仿宋_GB2312" w:cs="仿宋_GB2312"/>
          <w:bCs w:val="0"/>
          <w:color w:val="000000"/>
          <w:kern w:val="0"/>
          <w:sz w:val="32"/>
          <w:szCs w:val="32"/>
          <w:lang w:val="en-US" w:eastAsia="zh-CN"/>
        </w:rPr>
        <w:t>4</w:t>
      </w:r>
      <w:r>
        <w:rPr>
          <w:rFonts w:hint="eastAsia" w:ascii="仿宋_GB2312" w:hAnsi="仿宋_GB2312" w:eastAsia="仿宋_GB2312" w:cs="仿宋_GB2312"/>
          <w:bCs w:val="0"/>
          <w:color w:val="000000"/>
          <w:kern w:val="0"/>
          <w:sz w:val="32"/>
          <w:szCs w:val="32"/>
        </w:rPr>
        <w:t>年预算年末结转结余</w:t>
      </w:r>
      <w:r>
        <w:rPr>
          <w:rFonts w:hint="eastAsia" w:ascii="仿宋_GB2312" w:hAnsi="仿宋_GB2312" w:eastAsia="仿宋_GB2312" w:cs="仿宋_GB2312"/>
          <w:color w:val="000000"/>
          <w:kern w:val="0"/>
          <w:sz w:val="32"/>
          <w:szCs w:val="32"/>
        </w:rPr>
        <w:t>611.49万元</w:t>
      </w:r>
      <w:r>
        <w:rPr>
          <w:rFonts w:hint="eastAsia" w:ascii="仿宋_GB2312" w:hAnsi="仿宋_GB2312" w:eastAsia="仿宋_GB2312" w:cs="仿宋_GB2312"/>
          <w:bCs w:val="0"/>
          <w:color w:val="000000"/>
          <w:kern w:val="0"/>
          <w:sz w:val="32"/>
          <w:szCs w:val="32"/>
        </w:rPr>
        <w:t>，</w:t>
      </w:r>
      <w:r>
        <w:rPr>
          <w:rFonts w:hint="eastAsia" w:ascii="仿宋_GB2312" w:hAnsi="仿宋_GB2312" w:eastAsia="仿宋_GB2312" w:cs="仿宋_GB2312"/>
          <w:bCs w:val="0"/>
          <w:color w:val="000000"/>
          <w:kern w:val="0"/>
          <w:sz w:val="32"/>
          <w:szCs w:val="32"/>
          <w:highlight w:val="none"/>
        </w:rPr>
        <w:t>全年预算支出</w:t>
      </w:r>
      <w:r>
        <w:rPr>
          <w:rFonts w:hint="eastAsia" w:ascii="仿宋_GB2312" w:hAnsi="仿宋_GB2312" w:eastAsia="仿宋_GB2312" w:cs="仿宋_GB2312"/>
          <w:color w:val="000000"/>
          <w:kern w:val="0"/>
          <w:sz w:val="32"/>
          <w:szCs w:val="32"/>
          <w:highlight w:val="none"/>
        </w:rPr>
        <w:t>4,961.52</w:t>
      </w:r>
      <w:r>
        <w:rPr>
          <w:rFonts w:hint="eastAsia" w:ascii="仿宋_GB2312" w:hAnsi="仿宋_GB2312" w:eastAsia="仿宋_GB2312" w:cs="仿宋_GB2312"/>
          <w:bCs w:val="0"/>
          <w:color w:val="000000"/>
          <w:kern w:val="0"/>
          <w:sz w:val="32"/>
          <w:szCs w:val="32"/>
          <w:highlight w:val="none"/>
        </w:rPr>
        <w:t>万元，结转结余率为</w:t>
      </w:r>
      <w:r>
        <w:rPr>
          <w:rFonts w:hint="eastAsia" w:ascii="仿宋_GB2312" w:hAnsi="仿宋_GB2312" w:eastAsia="仿宋_GB2312" w:cs="仿宋_GB2312"/>
          <w:bCs w:val="0"/>
          <w:color w:val="000000"/>
          <w:kern w:val="0"/>
          <w:sz w:val="32"/>
          <w:szCs w:val="32"/>
          <w:highlight w:val="none"/>
          <w:lang w:val="en-US" w:eastAsia="zh-CN"/>
        </w:rPr>
        <w:t>10.97</w:t>
      </w:r>
      <w:r>
        <w:rPr>
          <w:rFonts w:hint="eastAsia" w:ascii="仿宋_GB2312" w:hAnsi="仿宋_GB2312" w:eastAsia="仿宋_GB2312" w:cs="仿宋_GB2312"/>
          <w:bCs w:val="0"/>
          <w:color w:val="000000"/>
          <w:kern w:val="0"/>
          <w:sz w:val="32"/>
          <w:szCs w:val="32"/>
          <w:highlight w:val="none"/>
        </w:rPr>
        <w:t>%，较上年结转结余率（</w:t>
      </w:r>
      <w:r>
        <w:rPr>
          <w:rFonts w:hint="eastAsia" w:ascii="仿宋_GB2312" w:hAnsi="仿宋_GB2312" w:eastAsia="仿宋_GB2312" w:cs="仿宋_GB2312"/>
          <w:bCs w:val="0"/>
          <w:color w:val="000000"/>
          <w:kern w:val="0"/>
          <w:sz w:val="32"/>
          <w:szCs w:val="32"/>
          <w:highlight w:val="none"/>
          <w:lang w:val="en-US" w:eastAsia="zh-CN"/>
        </w:rPr>
        <w:t>5.07</w:t>
      </w:r>
      <w:r>
        <w:rPr>
          <w:rFonts w:hint="eastAsia" w:ascii="仿宋_GB2312" w:hAnsi="仿宋_GB2312" w:eastAsia="仿宋_GB2312" w:cs="仿宋_GB2312"/>
          <w:bCs w:val="0"/>
          <w:color w:val="000000"/>
          <w:kern w:val="0"/>
          <w:sz w:val="32"/>
          <w:szCs w:val="32"/>
          <w:highlight w:val="none"/>
        </w:rPr>
        <w:t>%）</w:t>
      </w:r>
      <w:r>
        <w:rPr>
          <w:rFonts w:hint="eastAsia" w:ascii="仿宋_GB2312" w:hAnsi="仿宋_GB2312" w:eastAsia="仿宋_GB2312" w:cs="仿宋_GB2312"/>
          <w:bCs w:val="0"/>
          <w:color w:val="000000"/>
          <w:kern w:val="0"/>
          <w:sz w:val="32"/>
          <w:szCs w:val="32"/>
          <w:highlight w:val="none"/>
          <w:lang w:val="en-US" w:eastAsia="zh-CN"/>
        </w:rPr>
        <w:t>高5.90</w:t>
      </w:r>
      <w:r>
        <w:rPr>
          <w:rFonts w:hint="eastAsia" w:ascii="仿宋_GB2312" w:hAnsi="仿宋_GB2312" w:eastAsia="仿宋_GB2312" w:cs="仿宋_GB2312"/>
          <w:bCs w:val="0"/>
          <w:color w:val="000000"/>
          <w:kern w:val="0"/>
          <w:sz w:val="32"/>
          <w:szCs w:val="32"/>
          <w:highlight w:val="none"/>
        </w:rPr>
        <w:t>%。</w:t>
      </w:r>
    </w:p>
    <w:p>
      <w:pPr>
        <w:keepNext w:val="0"/>
        <w:keepLines w:val="0"/>
        <w:pageBreakBefore w:val="0"/>
        <w:widowControl/>
        <w:numPr>
          <w:ilvl w:val="0"/>
          <w:numId w:val="0"/>
        </w:numPr>
        <w:kinsoku/>
        <w:wordWrap/>
        <w:overflowPunct/>
        <w:topLinePunct w:val="0"/>
        <w:autoSpaceDE/>
        <w:autoSpaceDN/>
        <w:bidi w:val="0"/>
        <w:adjustRightInd/>
        <w:snapToGrid/>
        <w:spacing w:line="240" w:lineRule="auto"/>
        <w:ind w:left="0" w:leftChars="0" w:firstLine="640" w:firstLineChars="200"/>
        <w:textAlignment w:val="auto"/>
        <w:outlineLvl w:val="9"/>
        <w:rPr>
          <w:rFonts w:hint="eastAsia" w:ascii="楷体_GB2312" w:hAnsi="Calibri" w:eastAsia="楷体_GB2312" w:cs="Times New Roman"/>
          <w:b w:val="0"/>
          <w:bCs w:val="0"/>
          <w:kern w:val="2"/>
          <w:sz w:val="32"/>
          <w:szCs w:val="32"/>
          <w:highlight w:val="none"/>
        </w:rPr>
      </w:pPr>
      <w:r>
        <w:rPr>
          <w:rFonts w:hint="eastAsia" w:ascii="楷体_GB2312" w:hAnsi="Calibri" w:eastAsia="楷体_GB2312" w:cs="Times New Roman"/>
          <w:b w:val="0"/>
          <w:bCs w:val="0"/>
          <w:kern w:val="2"/>
          <w:sz w:val="32"/>
          <w:szCs w:val="32"/>
          <w:highlight w:val="none"/>
        </w:rPr>
        <w:t>（五）部门预决算差异率</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bCs w:val="0"/>
          <w:color w:val="000000"/>
          <w:kern w:val="0"/>
          <w:sz w:val="32"/>
          <w:szCs w:val="32"/>
          <w:highlight w:val="none"/>
        </w:rPr>
      </w:pPr>
      <w:r>
        <w:rPr>
          <w:rFonts w:hint="eastAsia" w:ascii="仿宋_GB2312" w:hAnsi="仿宋_GB2312" w:eastAsia="仿宋_GB2312" w:cs="仿宋_GB2312"/>
          <w:bCs w:val="0"/>
          <w:color w:val="000000"/>
          <w:kern w:val="0"/>
          <w:sz w:val="32"/>
          <w:szCs w:val="32"/>
          <w:highlight w:val="none"/>
        </w:rPr>
        <w:t>20</w:t>
      </w:r>
      <w:r>
        <w:rPr>
          <w:rFonts w:hint="eastAsia" w:ascii="仿宋_GB2312" w:hAnsi="仿宋_GB2312" w:eastAsia="仿宋_GB2312" w:cs="仿宋_GB2312"/>
          <w:bCs w:val="0"/>
          <w:color w:val="000000"/>
          <w:kern w:val="0"/>
          <w:sz w:val="32"/>
          <w:szCs w:val="32"/>
          <w:highlight w:val="none"/>
          <w:lang w:val="en-US" w:eastAsia="zh-CN"/>
        </w:rPr>
        <w:t>24</w:t>
      </w:r>
      <w:r>
        <w:rPr>
          <w:rFonts w:hint="eastAsia" w:ascii="仿宋_GB2312" w:hAnsi="仿宋_GB2312" w:eastAsia="仿宋_GB2312" w:cs="仿宋_GB2312"/>
          <w:bCs w:val="0"/>
          <w:color w:val="000000"/>
          <w:kern w:val="0"/>
          <w:sz w:val="32"/>
          <w:szCs w:val="32"/>
          <w:highlight w:val="none"/>
        </w:rPr>
        <w:t>年初部门预算</w:t>
      </w:r>
      <w:r>
        <w:rPr>
          <w:rFonts w:hint="eastAsia" w:ascii="仿宋_GB2312" w:hAnsi="仿宋_GB2312" w:eastAsia="仿宋_GB2312" w:cs="仿宋_GB2312"/>
          <w:color w:val="000000"/>
          <w:kern w:val="0"/>
          <w:sz w:val="32"/>
          <w:szCs w:val="32"/>
          <w:highlight w:val="none"/>
        </w:rPr>
        <w:t>5,434.32</w:t>
      </w:r>
      <w:r>
        <w:rPr>
          <w:rFonts w:hint="eastAsia" w:ascii="仿宋_GB2312" w:hAnsi="仿宋_GB2312" w:eastAsia="仿宋_GB2312" w:cs="仿宋_GB2312"/>
          <w:bCs w:val="0"/>
          <w:color w:val="000000"/>
          <w:kern w:val="0"/>
          <w:sz w:val="32"/>
          <w:szCs w:val="32"/>
          <w:highlight w:val="none"/>
        </w:rPr>
        <w:t>万元，年度部门决算</w:t>
      </w:r>
      <w:r>
        <w:rPr>
          <w:rFonts w:hint="eastAsia" w:ascii="仿宋_GB2312" w:hAnsi="仿宋_GB2312" w:eastAsia="仿宋_GB2312" w:cs="仿宋_GB2312"/>
          <w:color w:val="000000"/>
          <w:kern w:val="0"/>
          <w:sz w:val="32"/>
          <w:szCs w:val="32"/>
          <w:highlight w:val="none"/>
        </w:rPr>
        <w:t>4,961.52</w:t>
      </w:r>
      <w:r>
        <w:rPr>
          <w:rFonts w:hint="eastAsia" w:ascii="仿宋_GB2312" w:hAnsi="仿宋_GB2312" w:eastAsia="仿宋_GB2312" w:cs="仿宋_GB2312"/>
          <w:bCs w:val="0"/>
          <w:color w:val="000000"/>
          <w:kern w:val="0"/>
          <w:sz w:val="32"/>
          <w:szCs w:val="32"/>
          <w:highlight w:val="none"/>
        </w:rPr>
        <w:t>万元，部门预决算差异率为</w:t>
      </w:r>
      <w:r>
        <w:rPr>
          <w:rFonts w:hint="eastAsia" w:ascii="仿宋_GB2312" w:hAnsi="仿宋_GB2312" w:eastAsia="仿宋_GB2312" w:cs="仿宋_GB2312"/>
          <w:bCs w:val="0"/>
          <w:color w:val="000000"/>
          <w:kern w:val="0"/>
          <w:sz w:val="32"/>
          <w:szCs w:val="32"/>
          <w:highlight w:val="none"/>
          <w:lang w:val="en-US" w:eastAsia="zh-CN"/>
        </w:rPr>
        <w:t>8.7</w:t>
      </w:r>
      <w:r>
        <w:rPr>
          <w:rFonts w:hint="eastAsia" w:ascii="仿宋_GB2312" w:hAnsi="仿宋_GB2312" w:eastAsia="仿宋_GB2312" w:cs="仿宋_GB2312"/>
          <w:bCs w:val="0"/>
          <w:color w:val="000000"/>
          <w:kern w:val="0"/>
          <w:sz w:val="32"/>
          <w:szCs w:val="32"/>
          <w:highlight w:val="none"/>
        </w:rPr>
        <w:t>%。</w:t>
      </w:r>
    </w:p>
    <w:p>
      <w:pPr>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1.支出预决算差异情况表（按支出性质）</w:t>
      </w:r>
    </w:p>
    <w:tbl>
      <w:tblPr>
        <w:tblStyle w:val="11"/>
        <w:tblW w:w="8523" w:type="dxa"/>
        <w:tblInd w:w="250" w:type="dxa"/>
        <w:tblLayout w:type="fixed"/>
        <w:tblCellMar>
          <w:top w:w="0" w:type="dxa"/>
          <w:left w:w="108" w:type="dxa"/>
          <w:bottom w:w="0" w:type="dxa"/>
          <w:right w:w="108" w:type="dxa"/>
        </w:tblCellMar>
      </w:tblPr>
      <w:tblGrid>
        <w:gridCol w:w="3065"/>
        <w:gridCol w:w="1912"/>
        <w:gridCol w:w="2066"/>
        <w:gridCol w:w="1480"/>
      </w:tblGrid>
      <w:tr>
        <w:tblPrEx>
          <w:tblCellMar>
            <w:top w:w="0" w:type="dxa"/>
            <w:left w:w="108" w:type="dxa"/>
            <w:bottom w:w="0" w:type="dxa"/>
            <w:right w:w="108" w:type="dxa"/>
          </w:tblCellMar>
        </w:tblPrEx>
        <w:trPr>
          <w:trHeight w:val="285" w:hRule="atLeast"/>
        </w:trPr>
        <w:tc>
          <w:tcPr>
            <w:tcW w:w="3065" w:type="dxa"/>
            <w:tcBorders>
              <w:top w:val="single" w:color="auto" w:sz="4" w:space="0"/>
              <w:left w:val="single" w:color="auto" w:sz="4" w:space="0"/>
              <w:bottom w:val="single" w:color="auto" w:sz="4" w:space="0"/>
              <w:right w:val="single" w:color="auto" w:sz="4" w:space="0"/>
            </w:tcBorders>
            <w:shd w:val="clear" w:color="auto" w:fill="auto"/>
            <w:noWrap/>
            <w:vAlign w:val="bottom"/>
          </w:tcPr>
          <w:p>
            <w:pPr>
              <w:widowControl/>
              <w:jc w:val="center"/>
              <w:rPr>
                <w:rFonts w:hint="eastAsia" w:ascii="宋体" w:hAnsi="宋体" w:eastAsia="宋体" w:cs="宋体"/>
                <w:kern w:val="0"/>
                <w:sz w:val="30"/>
                <w:szCs w:val="30"/>
              </w:rPr>
            </w:pPr>
            <w:r>
              <w:rPr>
                <w:rFonts w:hint="eastAsia" w:ascii="宋体" w:hAnsi="宋体" w:eastAsia="宋体" w:cs="宋体"/>
                <w:kern w:val="0"/>
                <w:sz w:val="30"/>
                <w:szCs w:val="30"/>
              </w:rPr>
              <w:t>本年支出性质</w:t>
            </w:r>
          </w:p>
        </w:tc>
        <w:tc>
          <w:tcPr>
            <w:tcW w:w="1912" w:type="dxa"/>
            <w:tcBorders>
              <w:top w:val="single" w:color="auto" w:sz="4" w:space="0"/>
              <w:left w:val="nil"/>
              <w:bottom w:val="single" w:color="auto" w:sz="4" w:space="0"/>
              <w:right w:val="single" w:color="auto" w:sz="4" w:space="0"/>
            </w:tcBorders>
            <w:shd w:val="clear" w:color="auto" w:fill="auto"/>
            <w:noWrap/>
            <w:vAlign w:val="bottom"/>
          </w:tcPr>
          <w:p>
            <w:pPr>
              <w:widowControl/>
              <w:jc w:val="center"/>
              <w:rPr>
                <w:rFonts w:hint="eastAsia" w:ascii="宋体" w:hAnsi="宋体" w:eastAsia="宋体" w:cs="宋体"/>
                <w:kern w:val="0"/>
                <w:sz w:val="30"/>
                <w:szCs w:val="30"/>
              </w:rPr>
            </w:pPr>
            <w:r>
              <w:rPr>
                <w:rFonts w:hint="eastAsia" w:ascii="宋体" w:hAnsi="宋体" w:eastAsia="宋体" w:cs="宋体"/>
                <w:kern w:val="0"/>
                <w:sz w:val="30"/>
                <w:szCs w:val="30"/>
              </w:rPr>
              <w:t>年初预算数</w:t>
            </w:r>
          </w:p>
        </w:tc>
        <w:tc>
          <w:tcPr>
            <w:tcW w:w="2066" w:type="dxa"/>
            <w:tcBorders>
              <w:top w:val="single" w:color="auto" w:sz="4" w:space="0"/>
              <w:left w:val="nil"/>
              <w:bottom w:val="single" w:color="auto" w:sz="4" w:space="0"/>
              <w:right w:val="single" w:color="auto" w:sz="4" w:space="0"/>
            </w:tcBorders>
            <w:shd w:val="clear" w:color="auto" w:fill="auto"/>
            <w:noWrap/>
            <w:vAlign w:val="bottom"/>
          </w:tcPr>
          <w:p>
            <w:pPr>
              <w:widowControl/>
              <w:jc w:val="center"/>
              <w:rPr>
                <w:rFonts w:hint="eastAsia" w:ascii="宋体" w:hAnsi="宋体" w:eastAsia="宋体" w:cs="宋体"/>
                <w:kern w:val="0"/>
                <w:sz w:val="30"/>
                <w:szCs w:val="30"/>
              </w:rPr>
            </w:pPr>
            <w:r>
              <w:rPr>
                <w:rFonts w:hint="eastAsia" w:ascii="宋体" w:hAnsi="宋体" w:eastAsia="宋体" w:cs="宋体"/>
                <w:kern w:val="0"/>
                <w:sz w:val="30"/>
                <w:szCs w:val="30"/>
              </w:rPr>
              <w:t>年度决算数</w:t>
            </w:r>
          </w:p>
        </w:tc>
        <w:tc>
          <w:tcPr>
            <w:tcW w:w="1480" w:type="dxa"/>
            <w:tcBorders>
              <w:top w:val="single" w:color="auto" w:sz="4" w:space="0"/>
              <w:left w:val="nil"/>
              <w:bottom w:val="single" w:color="auto" w:sz="4" w:space="0"/>
              <w:right w:val="single" w:color="auto" w:sz="4" w:space="0"/>
            </w:tcBorders>
            <w:shd w:val="clear" w:color="auto" w:fill="auto"/>
            <w:noWrap/>
            <w:vAlign w:val="bottom"/>
          </w:tcPr>
          <w:p>
            <w:pPr>
              <w:widowControl/>
              <w:jc w:val="center"/>
              <w:rPr>
                <w:rFonts w:hint="eastAsia" w:ascii="宋体" w:hAnsi="宋体" w:eastAsia="宋体" w:cs="宋体"/>
                <w:kern w:val="0"/>
                <w:sz w:val="30"/>
                <w:szCs w:val="30"/>
              </w:rPr>
            </w:pPr>
            <w:r>
              <w:rPr>
                <w:rFonts w:hint="eastAsia" w:ascii="宋体" w:hAnsi="宋体" w:eastAsia="宋体" w:cs="宋体"/>
                <w:kern w:val="0"/>
                <w:sz w:val="30"/>
                <w:szCs w:val="30"/>
              </w:rPr>
              <w:t>差异率%</w:t>
            </w:r>
          </w:p>
        </w:tc>
      </w:tr>
      <w:tr>
        <w:tblPrEx>
          <w:tblCellMar>
            <w:top w:w="0" w:type="dxa"/>
            <w:left w:w="108" w:type="dxa"/>
            <w:bottom w:w="0" w:type="dxa"/>
            <w:right w:w="108" w:type="dxa"/>
          </w:tblCellMar>
        </w:tblPrEx>
        <w:trPr>
          <w:trHeight w:val="651" w:hRule="atLeast"/>
        </w:trPr>
        <w:tc>
          <w:tcPr>
            <w:tcW w:w="3065" w:type="dxa"/>
            <w:tcBorders>
              <w:top w:val="nil"/>
              <w:left w:val="single" w:color="auto" w:sz="4" w:space="0"/>
              <w:bottom w:val="single" w:color="auto" w:sz="4" w:space="0"/>
              <w:right w:val="single" w:color="auto" w:sz="4" w:space="0"/>
            </w:tcBorders>
            <w:shd w:val="clear" w:color="auto" w:fill="auto"/>
            <w:noWrap/>
            <w:vAlign w:val="bottom"/>
          </w:tcPr>
          <w:p>
            <w:pPr>
              <w:widowControl/>
              <w:jc w:val="center"/>
              <w:rPr>
                <w:rFonts w:hint="eastAsia" w:ascii="宋体" w:hAnsi="宋体" w:eastAsia="宋体" w:cs="宋体"/>
                <w:kern w:val="0"/>
                <w:sz w:val="30"/>
                <w:szCs w:val="30"/>
              </w:rPr>
            </w:pPr>
            <w:r>
              <w:rPr>
                <w:rFonts w:hint="eastAsia" w:ascii="宋体" w:hAnsi="宋体" w:eastAsia="宋体" w:cs="宋体"/>
                <w:kern w:val="0"/>
                <w:sz w:val="30"/>
                <w:szCs w:val="30"/>
              </w:rPr>
              <w:t>资金总体</w:t>
            </w:r>
          </w:p>
        </w:tc>
        <w:tc>
          <w:tcPr>
            <w:tcW w:w="1912" w:type="dxa"/>
            <w:tcBorders>
              <w:top w:val="nil"/>
              <w:left w:val="nil"/>
              <w:bottom w:val="single" w:color="auto" w:sz="4" w:space="0"/>
              <w:right w:val="single" w:color="auto" w:sz="4" w:space="0"/>
            </w:tcBorders>
            <w:shd w:val="clear" w:color="auto" w:fill="auto"/>
            <w:noWrap/>
            <w:vAlign w:val="bottom"/>
          </w:tcPr>
          <w:p>
            <w:pPr>
              <w:widowControl/>
              <w:jc w:val="center"/>
              <w:rPr>
                <w:rFonts w:hint="eastAsia" w:ascii="宋体" w:hAnsi="宋体" w:eastAsia="宋体" w:cs="宋体"/>
                <w:kern w:val="0"/>
                <w:sz w:val="30"/>
                <w:szCs w:val="30"/>
                <w:lang w:val="en-US" w:eastAsia="zh-CN"/>
              </w:rPr>
            </w:pPr>
            <w:r>
              <w:rPr>
                <w:rFonts w:hint="eastAsia" w:ascii="宋体" w:hAnsi="宋体" w:eastAsia="宋体" w:cs="宋体"/>
                <w:kern w:val="0"/>
                <w:sz w:val="30"/>
                <w:szCs w:val="30"/>
              </w:rPr>
              <w:t>5,434.32</w:t>
            </w:r>
          </w:p>
        </w:tc>
        <w:tc>
          <w:tcPr>
            <w:tcW w:w="2066" w:type="dxa"/>
            <w:tcBorders>
              <w:top w:val="nil"/>
              <w:left w:val="nil"/>
              <w:bottom w:val="single" w:color="auto" w:sz="4" w:space="0"/>
              <w:right w:val="single" w:color="auto" w:sz="4" w:space="0"/>
            </w:tcBorders>
            <w:shd w:val="clear" w:color="auto" w:fill="auto"/>
            <w:noWrap/>
            <w:vAlign w:val="bottom"/>
          </w:tcPr>
          <w:p>
            <w:pPr>
              <w:widowControl/>
              <w:jc w:val="center"/>
              <w:rPr>
                <w:rFonts w:hint="eastAsia" w:ascii="宋体" w:hAnsi="宋体" w:eastAsia="宋体" w:cs="宋体"/>
                <w:kern w:val="0"/>
                <w:sz w:val="30"/>
                <w:szCs w:val="30"/>
                <w:lang w:val="en-US" w:eastAsia="zh-CN"/>
              </w:rPr>
            </w:pPr>
            <w:r>
              <w:rPr>
                <w:rFonts w:hint="eastAsia" w:ascii="宋体" w:hAnsi="宋体" w:eastAsia="宋体" w:cs="宋体"/>
                <w:kern w:val="0"/>
                <w:sz w:val="30"/>
                <w:szCs w:val="30"/>
              </w:rPr>
              <w:t>4,961.52</w:t>
            </w:r>
          </w:p>
        </w:tc>
        <w:tc>
          <w:tcPr>
            <w:tcW w:w="148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30"/>
                <w:szCs w:val="30"/>
                <w:lang w:val="en-US" w:eastAsia="zh-CN"/>
              </w:rPr>
            </w:pPr>
            <w:r>
              <w:rPr>
                <w:rFonts w:hint="eastAsia" w:ascii="宋体" w:hAnsi="宋体" w:eastAsia="宋体" w:cs="宋体"/>
                <w:bCs w:val="0"/>
                <w:kern w:val="0"/>
                <w:sz w:val="30"/>
                <w:szCs w:val="30"/>
                <w:lang w:val="en-US" w:eastAsia="zh-CN"/>
              </w:rPr>
              <w:t>8.7</w:t>
            </w:r>
            <w:r>
              <w:rPr>
                <w:rFonts w:hint="eastAsia" w:ascii="宋体" w:hAnsi="宋体" w:eastAsia="宋体" w:cs="宋体"/>
                <w:kern w:val="0"/>
                <w:sz w:val="30"/>
                <w:szCs w:val="30"/>
                <w:lang w:val="en-US" w:eastAsia="zh-CN"/>
              </w:rPr>
              <w:t>%</w:t>
            </w:r>
          </w:p>
        </w:tc>
      </w:tr>
      <w:tr>
        <w:tblPrEx>
          <w:tblCellMar>
            <w:top w:w="0" w:type="dxa"/>
            <w:left w:w="108" w:type="dxa"/>
            <w:bottom w:w="0" w:type="dxa"/>
            <w:right w:w="108" w:type="dxa"/>
          </w:tblCellMar>
        </w:tblPrEx>
        <w:trPr>
          <w:trHeight w:val="691" w:hRule="atLeast"/>
        </w:trPr>
        <w:tc>
          <w:tcPr>
            <w:tcW w:w="3065" w:type="dxa"/>
            <w:tcBorders>
              <w:top w:val="single" w:color="auto" w:sz="4" w:space="0"/>
              <w:left w:val="single" w:color="auto" w:sz="4" w:space="0"/>
              <w:bottom w:val="single" w:color="auto" w:sz="4" w:space="0"/>
              <w:right w:val="single" w:color="auto" w:sz="4" w:space="0"/>
            </w:tcBorders>
            <w:shd w:val="clear" w:color="auto" w:fill="auto"/>
            <w:noWrap/>
            <w:vAlign w:val="bottom"/>
          </w:tcPr>
          <w:p>
            <w:pPr>
              <w:widowControl/>
              <w:jc w:val="center"/>
              <w:rPr>
                <w:rFonts w:hint="eastAsia" w:ascii="宋体" w:hAnsi="宋体" w:eastAsia="宋体" w:cs="宋体"/>
                <w:kern w:val="0"/>
                <w:sz w:val="30"/>
                <w:szCs w:val="30"/>
              </w:rPr>
            </w:pPr>
            <w:r>
              <w:rPr>
                <w:rFonts w:hint="eastAsia" w:ascii="宋体" w:hAnsi="宋体" w:eastAsia="宋体" w:cs="宋体"/>
                <w:kern w:val="0"/>
                <w:sz w:val="30"/>
                <w:szCs w:val="30"/>
              </w:rPr>
              <w:t>基本支出</w:t>
            </w:r>
          </w:p>
        </w:tc>
        <w:tc>
          <w:tcPr>
            <w:tcW w:w="1912" w:type="dxa"/>
            <w:tcBorders>
              <w:top w:val="single" w:color="auto" w:sz="4" w:space="0"/>
              <w:left w:val="single" w:color="auto" w:sz="4" w:space="0"/>
              <w:bottom w:val="single" w:color="auto" w:sz="4" w:space="0"/>
              <w:right w:val="single" w:color="auto" w:sz="4" w:space="0"/>
            </w:tcBorders>
            <w:shd w:val="clear" w:color="auto" w:fill="auto"/>
            <w:noWrap/>
            <w:vAlign w:val="bottom"/>
          </w:tcPr>
          <w:p>
            <w:pPr>
              <w:widowControl/>
              <w:jc w:val="center"/>
              <w:rPr>
                <w:rFonts w:hint="eastAsia" w:ascii="宋体" w:hAnsi="宋体" w:eastAsia="宋体" w:cs="宋体"/>
                <w:kern w:val="0"/>
                <w:sz w:val="30"/>
                <w:szCs w:val="30"/>
                <w:lang w:val="en-US" w:eastAsia="zh-CN"/>
              </w:rPr>
            </w:pPr>
            <w:r>
              <w:rPr>
                <w:rFonts w:hint="eastAsia" w:ascii="宋体" w:hAnsi="宋体" w:cs="宋体"/>
                <w:kern w:val="0"/>
                <w:sz w:val="30"/>
                <w:szCs w:val="30"/>
              </w:rPr>
              <w:t>3,444.89</w:t>
            </w:r>
          </w:p>
        </w:tc>
        <w:tc>
          <w:tcPr>
            <w:tcW w:w="2066" w:type="dxa"/>
            <w:tcBorders>
              <w:top w:val="single" w:color="auto" w:sz="4" w:space="0"/>
              <w:left w:val="single" w:color="auto" w:sz="4" w:space="0"/>
              <w:bottom w:val="single" w:color="auto" w:sz="4" w:space="0"/>
              <w:right w:val="single" w:color="auto" w:sz="4" w:space="0"/>
            </w:tcBorders>
            <w:shd w:val="clear" w:color="auto" w:fill="auto"/>
            <w:noWrap/>
            <w:vAlign w:val="bottom"/>
          </w:tcPr>
          <w:p>
            <w:pPr>
              <w:widowControl/>
              <w:jc w:val="center"/>
              <w:rPr>
                <w:rFonts w:hint="eastAsia" w:ascii="宋体" w:hAnsi="宋体" w:eastAsia="宋体" w:cs="宋体"/>
                <w:kern w:val="0"/>
                <w:sz w:val="30"/>
                <w:szCs w:val="30"/>
                <w:lang w:val="en-US" w:eastAsia="zh-CN"/>
              </w:rPr>
            </w:pPr>
            <w:r>
              <w:rPr>
                <w:rFonts w:hint="eastAsia" w:ascii="宋体" w:hAnsi="宋体" w:cs="宋体"/>
                <w:kern w:val="0"/>
                <w:sz w:val="30"/>
                <w:szCs w:val="30"/>
              </w:rPr>
              <w:t>3,173.67</w:t>
            </w:r>
          </w:p>
        </w:tc>
        <w:tc>
          <w:tcPr>
            <w:tcW w:w="148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30"/>
                <w:szCs w:val="30"/>
                <w:lang w:val="en-US" w:eastAsia="zh-CN"/>
              </w:rPr>
            </w:pPr>
            <w:r>
              <w:rPr>
                <w:rFonts w:hint="eastAsia" w:ascii="宋体" w:hAnsi="宋体" w:cs="宋体"/>
                <w:kern w:val="0"/>
                <w:sz w:val="30"/>
                <w:szCs w:val="30"/>
                <w:lang w:val="en-US" w:eastAsia="zh-CN"/>
              </w:rPr>
              <w:t>7.87</w:t>
            </w:r>
            <w:r>
              <w:rPr>
                <w:rFonts w:hint="eastAsia" w:ascii="宋体" w:hAnsi="宋体" w:eastAsia="宋体" w:cs="宋体"/>
                <w:kern w:val="0"/>
                <w:sz w:val="30"/>
                <w:szCs w:val="30"/>
                <w:lang w:val="en-US" w:eastAsia="zh-CN"/>
              </w:rPr>
              <w:t>%</w:t>
            </w:r>
          </w:p>
        </w:tc>
      </w:tr>
      <w:tr>
        <w:tblPrEx>
          <w:tblCellMar>
            <w:top w:w="0" w:type="dxa"/>
            <w:left w:w="108" w:type="dxa"/>
            <w:bottom w:w="0" w:type="dxa"/>
            <w:right w:w="108" w:type="dxa"/>
          </w:tblCellMar>
        </w:tblPrEx>
        <w:trPr>
          <w:trHeight w:val="285" w:hRule="atLeast"/>
        </w:trPr>
        <w:tc>
          <w:tcPr>
            <w:tcW w:w="3065" w:type="dxa"/>
            <w:tcBorders>
              <w:top w:val="single" w:color="auto" w:sz="4" w:space="0"/>
              <w:left w:val="single" w:color="auto" w:sz="4" w:space="0"/>
              <w:bottom w:val="single" w:color="auto" w:sz="4" w:space="0"/>
              <w:right w:val="single" w:color="auto" w:sz="4" w:space="0"/>
            </w:tcBorders>
            <w:shd w:val="clear" w:color="auto" w:fill="auto"/>
            <w:noWrap/>
            <w:vAlign w:val="bottom"/>
          </w:tcPr>
          <w:p>
            <w:pPr>
              <w:widowControl/>
              <w:jc w:val="center"/>
              <w:rPr>
                <w:rFonts w:hint="eastAsia" w:ascii="宋体" w:hAnsi="宋体" w:eastAsia="宋体" w:cs="宋体"/>
                <w:kern w:val="0"/>
                <w:sz w:val="30"/>
                <w:szCs w:val="30"/>
              </w:rPr>
            </w:pPr>
            <w:r>
              <w:rPr>
                <w:rFonts w:hint="eastAsia" w:ascii="宋体" w:hAnsi="宋体" w:eastAsia="宋体" w:cs="宋体"/>
                <w:kern w:val="0"/>
                <w:sz w:val="30"/>
                <w:szCs w:val="30"/>
              </w:rPr>
              <w:t>项目支出</w:t>
            </w:r>
          </w:p>
        </w:tc>
        <w:tc>
          <w:tcPr>
            <w:tcW w:w="1912" w:type="dxa"/>
            <w:tcBorders>
              <w:top w:val="single" w:color="auto" w:sz="4" w:space="0"/>
              <w:left w:val="single" w:color="auto" w:sz="4" w:space="0"/>
              <w:bottom w:val="single" w:color="auto" w:sz="4" w:space="0"/>
              <w:right w:val="single" w:color="auto" w:sz="4" w:space="0"/>
            </w:tcBorders>
            <w:shd w:val="clear" w:color="auto" w:fill="auto"/>
            <w:noWrap/>
            <w:vAlign w:val="bottom"/>
          </w:tcPr>
          <w:p>
            <w:pPr>
              <w:widowControl/>
              <w:jc w:val="center"/>
              <w:rPr>
                <w:rFonts w:hint="default" w:ascii="宋体" w:hAnsi="宋体" w:eastAsia="宋体" w:cs="宋体"/>
                <w:kern w:val="0"/>
                <w:sz w:val="30"/>
                <w:szCs w:val="30"/>
                <w:lang w:val="en-US" w:eastAsia="zh-CN"/>
              </w:rPr>
            </w:pPr>
            <w:r>
              <w:rPr>
                <w:rFonts w:hint="eastAsia" w:ascii="宋体" w:hAnsi="宋体" w:cs="宋体"/>
                <w:kern w:val="0"/>
                <w:sz w:val="30"/>
                <w:szCs w:val="30"/>
              </w:rPr>
              <w:t>1,989.43</w:t>
            </w:r>
          </w:p>
        </w:tc>
        <w:tc>
          <w:tcPr>
            <w:tcW w:w="2066" w:type="dxa"/>
            <w:tcBorders>
              <w:top w:val="single" w:color="auto" w:sz="4" w:space="0"/>
              <w:left w:val="single" w:color="auto" w:sz="4" w:space="0"/>
              <w:bottom w:val="single" w:color="auto" w:sz="4" w:space="0"/>
              <w:right w:val="single" w:color="auto" w:sz="4" w:space="0"/>
            </w:tcBorders>
            <w:shd w:val="clear" w:color="auto" w:fill="auto"/>
            <w:noWrap/>
            <w:vAlign w:val="bottom"/>
          </w:tcPr>
          <w:p>
            <w:pPr>
              <w:widowControl/>
              <w:jc w:val="center"/>
              <w:rPr>
                <w:rFonts w:hint="eastAsia" w:ascii="宋体" w:hAnsi="宋体" w:eastAsia="宋体" w:cs="宋体"/>
                <w:kern w:val="0"/>
                <w:sz w:val="30"/>
                <w:szCs w:val="30"/>
                <w:lang w:val="en-US" w:eastAsia="zh-CN"/>
              </w:rPr>
            </w:pPr>
            <w:r>
              <w:rPr>
                <w:rFonts w:hint="eastAsia" w:ascii="宋体" w:hAnsi="宋体" w:cs="宋体"/>
                <w:kern w:val="0"/>
                <w:sz w:val="30"/>
                <w:szCs w:val="30"/>
              </w:rPr>
              <w:t>1,787.86</w:t>
            </w:r>
          </w:p>
        </w:tc>
        <w:tc>
          <w:tcPr>
            <w:tcW w:w="148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30"/>
                <w:szCs w:val="30"/>
                <w:lang w:val="en-US" w:eastAsia="zh-CN"/>
              </w:rPr>
            </w:pPr>
            <w:r>
              <w:rPr>
                <w:rFonts w:hint="eastAsia" w:ascii="宋体" w:hAnsi="宋体" w:cs="宋体"/>
                <w:kern w:val="0"/>
                <w:sz w:val="30"/>
                <w:szCs w:val="30"/>
                <w:lang w:val="en-US" w:eastAsia="zh-CN"/>
              </w:rPr>
              <w:t>10.13</w:t>
            </w:r>
            <w:r>
              <w:rPr>
                <w:rFonts w:hint="eastAsia" w:ascii="宋体" w:hAnsi="宋体" w:eastAsia="宋体" w:cs="宋体"/>
                <w:kern w:val="0"/>
                <w:sz w:val="30"/>
                <w:szCs w:val="30"/>
                <w:lang w:val="en-US" w:eastAsia="zh-CN"/>
              </w:rPr>
              <w:t>%</w:t>
            </w:r>
          </w:p>
        </w:tc>
      </w:tr>
    </w:tbl>
    <w:p>
      <w:pPr>
        <w:ind w:firstLine="640" w:firstLineChars="200"/>
        <w:rPr>
          <w:rFonts w:hint="eastAsia" w:ascii="仿宋_GB2312" w:eastAsia="仿宋_GB2312"/>
          <w:sz w:val="32"/>
          <w:szCs w:val="32"/>
        </w:rPr>
      </w:pPr>
      <w:r>
        <w:rPr>
          <w:rFonts w:hint="eastAsia" w:ascii="仿宋_GB2312" w:eastAsia="仿宋_GB2312"/>
          <w:sz w:val="32"/>
          <w:szCs w:val="32"/>
        </w:rPr>
        <w:t>2.支出预决算差异情况表（按功能科目）</w:t>
      </w:r>
    </w:p>
    <w:tbl>
      <w:tblPr>
        <w:tblStyle w:val="11"/>
        <w:tblW w:w="8523" w:type="dxa"/>
        <w:tblInd w:w="250" w:type="dxa"/>
        <w:tblLayout w:type="fixed"/>
        <w:tblCellMar>
          <w:top w:w="0" w:type="dxa"/>
          <w:left w:w="108" w:type="dxa"/>
          <w:bottom w:w="0" w:type="dxa"/>
          <w:right w:w="108" w:type="dxa"/>
        </w:tblCellMar>
      </w:tblPr>
      <w:tblGrid>
        <w:gridCol w:w="3068"/>
        <w:gridCol w:w="1911"/>
        <w:gridCol w:w="2064"/>
        <w:gridCol w:w="1480"/>
      </w:tblGrid>
      <w:tr>
        <w:tblPrEx>
          <w:tblCellMar>
            <w:top w:w="0" w:type="dxa"/>
            <w:left w:w="108" w:type="dxa"/>
            <w:bottom w:w="0" w:type="dxa"/>
            <w:right w:w="108" w:type="dxa"/>
          </w:tblCellMar>
        </w:tblPrEx>
        <w:trPr>
          <w:trHeight w:val="285" w:hRule="atLeast"/>
        </w:trPr>
        <w:tc>
          <w:tcPr>
            <w:tcW w:w="3068" w:type="dxa"/>
            <w:tcBorders>
              <w:top w:val="single" w:color="auto" w:sz="4" w:space="0"/>
              <w:left w:val="single" w:color="auto" w:sz="4" w:space="0"/>
              <w:bottom w:val="single" w:color="auto" w:sz="4" w:space="0"/>
              <w:right w:val="single" w:color="auto" w:sz="4" w:space="0"/>
            </w:tcBorders>
            <w:shd w:val="clear" w:color="auto" w:fill="auto"/>
            <w:noWrap/>
            <w:vAlign w:val="bottom"/>
          </w:tcPr>
          <w:p>
            <w:pPr>
              <w:widowControl/>
              <w:jc w:val="center"/>
              <w:rPr>
                <w:rFonts w:hint="eastAsia" w:ascii="宋体" w:hAnsi="宋体" w:eastAsia="宋体" w:cs="宋体"/>
                <w:kern w:val="0"/>
                <w:sz w:val="30"/>
                <w:szCs w:val="30"/>
              </w:rPr>
            </w:pPr>
            <w:r>
              <w:rPr>
                <w:rFonts w:hint="eastAsia" w:ascii="宋体" w:hAnsi="宋体" w:eastAsia="宋体" w:cs="宋体"/>
                <w:kern w:val="0"/>
                <w:sz w:val="30"/>
                <w:szCs w:val="30"/>
              </w:rPr>
              <w:t>功能科目</w:t>
            </w:r>
          </w:p>
        </w:tc>
        <w:tc>
          <w:tcPr>
            <w:tcW w:w="1911" w:type="dxa"/>
            <w:tcBorders>
              <w:top w:val="single" w:color="auto" w:sz="4" w:space="0"/>
              <w:left w:val="nil"/>
              <w:bottom w:val="single" w:color="auto" w:sz="4" w:space="0"/>
              <w:right w:val="single" w:color="auto" w:sz="4" w:space="0"/>
            </w:tcBorders>
            <w:shd w:val="clear" w:color="auto" w:fill="auto"/>
            <w:noWrap/>
            <w:vAlign w:val="bottom"/>
          </w:tcPr>
          <w:p>
            <w:pPr>
              <w:widowControl/>
              <w:jc w:val="center"/>
              <w:rPr>
                <w:rFonts w:hint="eastAsia" w:ascii="宋体" w:hAnsi="宋体" w:eastAsia="宋体" w:cs="宋体"/>
                <w:kern w:val="0"/>
                <w:sz w:val="30"/>
                <w:szCs w:val="30"/>
              </w:rPr>
            </w:pPr>
            <w:r>
              <w:rPr>
                <w:rFonts w:hint="eastAsia" w:ascii="宋体" w:hAnsi="宋体" w:eastAsia="宋体" w:cs="宋体"/>
                <w:kern w:val="0"/>
                <w:sz w:val="30"/>
                <w:szCs w:val="30"/>
              </w:rPr>
              <w:t>年初预算数</w:t>
            </w:r>
          </w:p>
        </w:tc>
        <w:tc>
          <w:tcPr>
            <w:tcW w:w="2064" w:type="dxa"/>
            <w:tcBorders>
              <w:top w:val="single" w:color="auto" w:sz="4" w:space="0"/>
              <w:left w:val="nil"/>
              <w:bottom w:val="single" w:color="auto" w:sz="4" w:space="0"/>
              <w:right w:val="single" w:color="auto" w:sz="4" w:space="0"/>
            </w:tcBorders>
            <w:shd w:val="clear" w:color="auto" w:fill="auto"/>
            <w:noWrap/>
            <w:vAlign w:val="bottom"/>
          </w:tcPr>
          <w:p>
            <w:pPr>
              <w:widowControl/>
              <w:jc w:val="center"/>
              <w:rPr>
                <w:rFonts w:hint="eastAsia" w:ascii="宋体" w:hAnsi="宋体" w:eastAsia="宋体" w:cs="宋体"/>
                <w:kern w:val="0"/>
                <w:sz w:val="30"/>
                <w:szCs w:val="30"/>
              </w:rPr>
            </w:pPr>
            <w:r>
              <w:rPr>
                <w:rFonts w:hint="eastAsia" w:ascii="宋体" w:hAnsi="宋体" w:eastAsia="宋体" w:cs="宋体"/>
                <w:kern w:val="0"/>
                <w:sz w:val="30"/>
                <w:szCs w:val="30"/>
              </w:rPr>
              <w:t>决算数</w:t>
            </w:r>
          </w:p>
        </w:tc>
        <w:tc>
          <w:tcPr>
            <w:tcW w:w="1480" w:type="dxa"/>
            <w:tcBorders>
              <w:top w:val="single" w:color="auto" w:sz="4" w:space="0"/>
              <w:left w:val="nil"/>
              <w:bottom w:val="single" w:color="auto" w:sz="4" w:space="0"/>
              <w:right w:val="single" w:color="auto" w:sz="4" w:space="0"/>
            </w:tcBorders>
            <w:shd w:val="clear" w:color="auto" w:fill="auto"/>
            <w:noWrap/>
            <w:vAlign w:val="bottom"/>
          </w:tcPr>
          <w:p>
            <w:pPr>
              <w:widowControl/>
              <w:jc w:val="center"/>
              <w:rPr>
                <w:rFonts w:hint="eastAsia" w:ascii="宋体" w:hAnsi="宋体" w:eastAsia="宋体" w:cs="宋体"/>
                <w:kern w:val="0"/>
                <w:sz w:val="30"/>
                <w:szCs w:val="30"/>
              </w:rPr>
            </w:pPr>
            <w:r>
              <w:rPr>
                <w:rFonts w:hint="eastAsia" w:ascii="宋体" w:hAnsi="宋体" w:eastAsia="宋体" w:cs="宋体"/>
                <w:kern w:val="0"/>
                <w:sz w:val="30"/>
                <w:szCs w:val="30"/>
              </w:rPr>
              <w:t>差异率%</w:t>
            </w:r>
          </w:p>
        </w:tc>
      </w:tr>
      <w:tr>
        <w:tblPrEx>
          <w:tblCellMar>
            <w:top w:w="0" w:type="dxa"/>
            <w:left w:w="108" w:type="dxa"/>
            <w:bottom w:w="0" w:type="dxa"/>
            <w:right w:w="108" w:type="dxa"/>
          </w:tblCellMar>
        </w:tblPrEx>
        <w:trPr>
          <w:trHeight w:val="285" w:hRule="atLeast"/>
        </w:trPr>
        <w:tc>
          <w:tcPr>
            <w:tcW w:w="3068" w:type="dxa"/>
            <w:tcBorders>
              <w:top w:val="nil"/>
              <w:left w:val="single" w:color="auto" w:sz="4" w:space="0"/>
              <w:bottom w:val="single" w:color="auto" w:sz="4" w:space="0"/>
              <w:right w:val="single" w:color="auto" w:sz="4" w:space="0"/>
            </w:tcBorders>
            <w:shd w:val="clear" w:color="auto" w:fill="auto"/>
            <w:noWrap/>
            <w:vAlign w:val="bottom"/>
          </w:tcPr>
          <w:p>
            <w:pPr>
              <w:widowControl/>
              <w:jc w:val="center"/>
              <w:rPr>
                <w:rFonts w:hint="eastAsia" w:ascii="宋体" w:hAnsi="宋体" w:eastAsia="宋体" w:cs="宋体"/>
                <w:kern w:val="0"/>
                <w:sz w:val="30"/>
                <w:szCs w:val="30"/>
              </w:rPr>
            </w:pPr>
            <w:r>
              <w:rPr>
                <w:rFonts w:hint="eastAsia" w:ascii="宋体" w:hAnsi="宋体" w:eastAsia="宋体" w:cs="宋体"/>
                <w:kern w:val="0"/>
                <w:sz w:val="30"/>
                <w:szCs w:val="30"/>
              </w:rPr>
              <w:t>资金总体</w:t>
            </w:r>
          </w:p>
        </w:tc>
        <w:tc>
          <w:tcPr>
            <w:tcW w:w="1911" w:type="dxa"/>
            <w:tcBorders>
              <w:top w:val="nil"/>
              <w:left w:val="nil"/>
              <w:bottom w:val="single" w:color="auto" w:sz="4" w:space="0"/>
              <w:right w:val="single" w:color="auto" w:sz="4" w:space="0"/>
            </w:tcBorders>
            <w:shd w:val="clear" w:color="auto" w:fill="auto"/>
            <w:noWrap/>
            <w:vAlign w:val="bottom"/>
          </w:tcPr>
          <w:p>
            <w:pPr>
              <w:widowControl/>
              <w:jc w:val="center"/>
              <w:rPr>
                <w:rFonts w:hint="eastAsia" w:ascii="宋体" w:hAnsi="宋体" w:eastAsia="宋体" w:cs="宋体"/>
                <w:kern w:val="0"/>
                <w:sz w:val="30"/>
                <w:szCs w:val="30"/>
                <w:lang w:val="en-US" w:eastAsia="zh-CN"/>
              </w:rPr>
            </w:pPr>
            <w:r>
              <w:rPr>
                <w:rFonts w:hint="eastAsia" w:ascii="宋体" w:hAnsi="宋体" w:eastAsia="宋体" w:cs="宋体"/>
                <w:kern w:val="0"/>
                <w:sz w:val="30"/>
                <w:szCs w:val="30"/>
              </w:rPr>
              <w:t>5,434.32</w:t>
            </w:r>
          </w:p>
        </w:tc>
        <w:tc>
          <w:tcPr>
            <w:tcW w:w="2064" w:type="dxa"/>
            <w:tcBorders>
              <w:top w:val="nil"/>
              <w:left w:val="nil"/>
              <w:bottom w:val="single" w:color="auto" w:sz="4" w:space="0"/>
              <w:right w:val="single" w:color="auto" w:sz="4" w:space="0"/>
            </w:tcBorders>
            <w:shd w:val="clear" w:color="auto" w:fill="auto"/>
            <w:noWrap/>
            <w:vAlign w:val="bottom"/>
          </w:tcPr>
          <w:p>
            <w:pPr>
              <w:widowControl/>
              <w:jc w:val="center"/>
              <w:rPr>
                <w:rFonts w:hint="eastAsia" w:ascii="宋体" w:hAnsi="宋体" w:eastAsia="宋体" w:cs="宋体"/>
                <w:kern w:val="0"/>
                <w:sz w:val="30"/>
                <w:szCs w:val="30"/>
                <w:lang w:val="en-US" w:eastAsia="zh-CN"/>
              </w:rPr>
            </w:pPr>
            <w:r>
              <w:rPr>
                <w:rFonts w:hint="eastAsia" w:ascii="宋体" w:hAnsi="宋体" w:eastAsia="宋体" w:cs="宋体"/>
                <w:kern w:val="0"/>
                <w:sz w:val="30"/>
                <w:szCs w:val="30"/>
              </w:rPr>
              <w:t>4,961.52</w:t>
            </w:r>
          </w:p>
        </w:tc>
        <w:tc>
          <w:tcPr>
            <w:tcW w:w="1480" w:type="dxa"/>
            <w:tcBorders>
              <w:top w:val="nil"/>
              <w:left w:val="nil"/>
              <w:bottom w:val="single" w:color="auto" w:sz="4" w:space="0"/>
              <w:right w:val="single" w:color="auto" w:sz="4" w:space="0"/>
            </w:tcBorders>
            <w:shd w:val="clear" w:color="auto" w:fill="auto"/>
            <w:noWrap/>
            <w:vAlign w:val="bottom"/>
          </w:tcPr>
          <w:p>
            <w:pPr>
              <w:widowControl/>
              <w:jc w:val="center"/>
              <w:rPr>
                <w:rFonts w:hint="eastAsia" w:ascii="宋体" w:hAnsi="宋体" w:eastAsia="宋体" w:cs="宋体"/>
                <w:kern w:val="0"/>
                <w:sz w:val="30"/>
                <w:szCs w:val="30"/>
                <w:lang w:val="en-US" w:eastAsia="zh-CN"/>
              </w:rPr>
            </w:pPr>
            <w:r>
              <w:rPr>
                <w:rFonts w:hint="eastAsia" w:ascii="宋体" w:hAnsi="宋体" w:eastAsia="宋体" w:cs="宋体"/>
                <w:bCs w:val="0"/>
                <w:kern w:val="0"/>
                <w:sz w:val="30"/>
                <w:szCs w:val="30"/>
                <w:lang w:val="en-US" w:eastAsia="zh-CN"/>
              </w:rPr>
              <w:t>8.7</w:t>
            </w:r>
            <w:r>
              <w:rPr>
                <w:rFonts w:hint="eastAsia" w:ascii="宋体" w:hAnsi="宋体" w:eastAsia="宋体" w:cs="宋体"/>
                <w:kern w:val="0"/>
                <w:sz w:val="30"/>
                <w:szCs w:val="30"/>
                <w:lang w:val="en-US" w:eastAsia="zh-CN"/>
              </w:rPr>
              <w:t>%</w:t>
            </w:r>
          </w:p>
        </w:tc>
      </w:tr>
      <w:tr>
        <w:tblPrEx>
          <w:tblCellMar>
            <w:top w:w="0" w:type="dxa"/>
            <w:left w:w="108" w:type="dxa"/>
            <w:bottom w:w="0" w:type="dxa"/>
            <w:right w:w="108" w:type="dxa"/>
          </w:tblCellMar>
        </w:tblPrEx>
        <w:trPr>
          <w:trHeight w:val="285" w:hRule="atLeast"/>
        </w:trPr>
        <w:tc>
          <w:tcPr>
            <w:tcW w:w="3068"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cs="宋体"/>
                <w:kern w:val="0"/>
                <w:sz w:val="30"/>
                <w:szCs w:val="30"/>
                <w:lang w:val="en-US" w:eastAsia="zh-CN"/>
              </w:rPr>
            </w:pPr>
            <w:r>
              <w:rPr>
                <w:rFonts w:hint="eastAsia" w:ascii="宋体" w:hAnsi="宋体" w:eastAsia="宋体" w:cs="宋体"/>
                <w:kern w:val="0"/>
                <w:sz w:val="30"/>
                <w:szCs w:val="30"/>
              </w:rPr>
              <w:t>社会保障和就业支出</w:t>
            </w:r>
          </w:p>
        </w:tc>
        <w:tc>
          <w:tcPr>
            <w:tcW w:w="1911" w:type="dxa"/>
            <w:tcBorders>
              <w:top w:val="single" w:color="auto" w:sz="4" w:space="0"/>
              <w:left w:val="single" w:color="auto" w:sz="4" w:space="0"/>
              <w:bottom w:val="single" w:color="auto" w:sz="4" w:space="0"/>
              <w:right w:val="single" w:color="auto" w:sz="4" w:space="0"/>
            </w:tcBorders>
            <w:shd w:val="clear" w:color="auto" w:fill="auto"/>
            <w:noWrap/>
            <w:vAlign w:val="bottom"/>
          </w:tcPr>
          <w:p>
            <w:pPr>
              <w:widowControl/>
              <w:jc w:val="center"/>
              <w:rPr>
                <w:rFonts w:hint="eastAsia" w:ascii="宋体" w:hAnsi="宋体" w:cs="宋体"/>
                <w:kern w:val="0"/>
                <w:sz w:val="30"/>
                <w:szCs w:val="30"/>
              </w:rPr>
            </w:pPr>
            <w:r>
              <w:rPr>
                <w:rFonts w:hint="eastAsia" w:ascii="宋体" w:hAnsi="宋体" w:cs="宋体"/>
                <w:kern w:val="0"/>
                <w:sz w:val="30"/>
                <w:szCs w:val="30"/>
              </w:rPr>
              <w:t>5,324.57</w:t>
            </w:r>
          </w:p>
        </w:tc>
        <w:tc>
          <w:tcPr>
            <w:tcW w:w="2064" w:type="dxa"/>
            <w:tcBorders>
              <w:top w:val="single" w:color="auto" w:sz="4" w:space="0"/>
              <w:left w:val="single" w:color="auto" w:sz="4" w:space="0"/>
              <w:bottom w:val="single" w:color="auto" w:sz="4" w:space="0"/>
              <w:right w:val="single" w:color="auto" w:sz="4" w:space="0"/>
            </w:tcBorders>
            <w:shd w:val="clear" w:color="auto" w:fill="auto"/>
            <w:noWrap/>
            <w:vAlign w:val="bottom"/>
          </w:tcPr>
          <w:p>
            <w:pPr>
              <w:widowControl/>
              <w:jc w:val="center"/>
              <w:rPr>
                <w:rFonts w:hint="eastAsia" w:ascii="宋体" w:hAnsi="宋体" w:cs="宋体"/>
                <w:kern w:val="0"/>
                <w:sz w:val="30"/>
                <w:szCs w:val="30"/>
              </w:rPr>
            </w:pPr>
            <w:r>
              <w:rPr>
                <w:rFonts w:hint="eastAsia" w:ascii="宋体" w:hAnsi="宋体" w:cs="宋体"/>
                <w:kern w:val="0"/>
                <w:sz w:val="30"/>
                <w:szCs w:val="30"/>
              </w:rPr>
              <w:t>4,863.77</w:t>
            </w:r>
          </w:p>
        </w:tc>
        <w:tc>
          <w:tcPr>
            <w:tcW w:w="1480" w:type="dxa"/>
            <w:tcBorders>
              <w:top w:val="single" w:color="auto" w:sz="4" w:space="0"/>
              <w:left w:val="single" w:color="auto" w:sz="4" w:space="0"/>
              <w:bottom w:val="single" w:color="auto" w:sz="4" w:space="0"/>
              <w:right w:val="single" w:color="auto" w:sz="4" w:space="0"/>
            </w:tcBorders>
            <w:shd w:val="clear" w:color="auto" w:fill="auto"/>
            <w:noWrap/>
            <w:vAlign w:val="bottom"/>
          </w:tcPr>
          <w:p>
            <w:pPr>
              <w:widowControl/>
              <w:jc w:val="center"/>
              <w:rPr>
                <w:rFonts w:hint="eastAsia" w:ascii="宋体" w:hAnsi="宋体" w:cs="宋体"/>
                <w:kern w:val="0"/>
                <w:sz w:val="30"/>
                <w:szCs w:val="30"/>
                <w:lang w:val="en-US" w:eastAsia="zh-CN"/>
              </w:rPr>
            </w:pPr>
            <w:r>
              <w:rPr>
                <w:rFonts w:hint="eastAsia" w:ascii="宋体" w:hAnsi="宋体" w:cs="宋体"/>
                <w:kern w:val="0"/>
                <w:sz w:val="30"/>
                <w:szCs w:val="30"/>
                <w:lang w:val="en-US" w:eastAsia="zh-CN"/>
              </w:rPr>
              <w:t>8.65%</w:t>
            </w:r>
          </w:p>
        </w:tc>
      </w:tr>
      <w:tr>
        <w:tblPrEx>
          <w:tblCellMar>
            <w:top w:w="0" w:type="dxa"/>
            <w:left w:w="108" w:type="dxa"/>
            <w:bottom w:w="0" w:type="dxa"/>
            <w:right w:w="108" w:type="dxa"/>
          </w:tblCellMar>
        </w:tblPrEx>
        <w:trPr>
          <w:trHeight w:val="285" w:hRule="atLeast"/>
        </w:trPr>
        <w:tc>
          <w:tcPr>
            <w:tcW w:w="3068"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cs="宋体"/>
                <w:kern w:val="0"/>
                <w:sz w:val="30"/>
                <w:szCs w:val="30"/>
                <w:lang w:val="en-US" w:eastAsia="zh-CN"/>
              </w:rPr>
            </w:pPr>
            <w:r>
              <w:rPr>
                <w:rFonts w:hint="eastAsia" w:ascii="宋体" w:hAnsi="宋体" w:eastAsia="宋体" w:cs="宋体"/>
                <w:kern w:val="0"/>
                <w:sz w:val="30"/>
                <w:szCs w:val="30"/>
              </w:rPr>
              <w:t>农林水支出</w:t>
            </w:r>
          </w:p>
        </w:tc>
        <w:tc>
          <w:tcPr>
            <w:tcW w:w="1911" w:type="dxa"/>
            <w:tcBorders>
              <w:top w:val="single" w:color="auto" w:sz="4" w:space="0"/>
              <w:left w:val="single" w:color="auto" w:sz="4" w:space="0"/>
              <w:bottom w:val="single" w:color="auto" w:sz="4" w:space="0"/>
              <w:right w:val="single" w:color="auto" w:sz="4" w:space="0"/>
            </w:tcBorders>
            <w:shd w:val="clear" w:color="auto" w:fill="auto"/>
            <w:noWrap/>
            <w:vAlign w:val="bottom"/>
          </w:tcPr>
          <w:p>
            <w:pPr>
              <w:widowControl/>
              <w:jc w:val="center"/>
              <w:rPr>
                <w:rFonts w:hint="eastAsia" w:ascii="宋体" w:hAnsi="宋体" w:cs="宋体"/>
                <w:kern w:val="0"/>
                <w:sz w:val="30"/>
                <w:szCs w:val="30"/>
              </w:rPr>
            </w:pPr>
            <w:r>
              <w:rPr>
                <w:rFonts w:hint="eastAsia" w:ascii="宋体" w:hAnsi="宋体" w:cs="宋体"/>
                <w:kern w:val="0"/>
                <w:sz w:val="30"/>
                <w:szCs w:val="30"/>
              </w:rPr>
              <w:t>95.18</w:t>
            </w:r>
          </w:p>
        </w:tc>
        <w:tc>
          <w:tcPr>
            <w:tcW w:w="2064" w:type="dxa"/>
            <w:tcBorders>
              <w:top w:val="single" w:color="auto" w:sz="4" w:space="0"/>
              <w:left w:val="single" w:color="auto" w:sz="4" w:space="0"/>
              <w:bottom w:val="single" w:color="auto" w:sz="4" w:space="0"/>
              <w:right w:val="single" w:color="auto" w:sz="4" w:space="0"/>
            </w:tcBorders>
            <w:shd w:val="clear" w:color="auto" w:fill="auto"/>
            <w:noWrap/>
            <w:vAlign w:val="bottom"/>
          </w:tcPr>
          <w:p>
            <w:pPr>
              <w:widowControl/>
              <w:jc w:val="center"/>
              <w:rPr>
                <w:rFonts w:hint="eastAsia" w:ascii="宋体" w:hAnsi="宋体" w:cs="宋体"/>
                <w:kern w:val="0"/>
                <w:sz w:val="30"/>
                <w:szCs w:val="30"/>
              </w:rPr>
            </w:pPr>
            <w:r>
              <w:rPr>
                <w:rFonts w:hint="eastAsia" w:ascii="宋体" w:hAnsi="宋体" w:cs="宋体"/>
                <w:kern w:val="0"/>
                <w:sz w:val="30"/>
                <w:szCs w:val="30"/>
              </w:rPr>
              <w:t>83.62</w:t>
            </w:r>
          </w:p>
        </w:tc>
        <w:tc>
          <w:tcPr>
            <w:tcW w:w="1480" w:type="dxa"/>
            <w:tcBorders>
              <w:top w:val="single" w:color="auto" w:sz="4" w:space="0"/>
              <w:left w:val="single" w:color="auto" w:sz="4" w:space="0"/>
              <w:bottom w:val="single" w:color="auto" w:sz="4" w:space="0"/>
              <w:right w:val="single" w:color="auto" w:sz="4" w:space="0"/>
            </w:tcBorders>
            <w:shd w:val="clear" w:color="auto" w:fill="auto"/>
            <w:noWrap/>
            <w:vAlign w:val="bottom"/>
          </w:tcPr>
          <w:p>
            <w:pPr>
              <w:widowControl/>
              <w:jc w:val="center"/>
              <w:rPr>
                <w:rFonts w:hint="eastAsia" w:ascii="宋体" w:hAnsi="宋体" w:cs="宋体"/>
                <w:kern w:val="0"/>
                <w:sz w:val="30"/>
                <w:szCs w:val="30"/>
                <w:lang w:val="en-US" w:eastAsia="zh-CN"/>
              </w:rPr>
            </w:pPr>
            <w:r>
              <w:rPr>
                <w:rFonts w:hint="eastAsia" w:ascii="宋体" w:hAnsi="宋体" w:cs="宋体"/>
                <w:kern w:val="0"/>
                <w:sz w:val="30"/>
                <w:szCs w:val="30"/>
                <w:lang w:val="en-US" w:eastAsia="zh-CN"/>
              </w:rPr>
              <w:t>12.14</w:t>
            </w:r>
            <w:r>
              <w:rPr>
                <w:rFonts w:hint="eastAsia" w:ascii="宋体" w:hAnsi="宋体" w:eastAsia="宋体" w:cs="宋体"/>
                <w:kern w:val="0"/>
                <w:sz w:val="30"/>
                <w:szCs w:val="30"/>
                <w:lang w:val="en-US" w:eastAsia="zh-CN"/>
              </w:rPr>
              <w:t>%</w:t>
            </w:r>
          </w:p>
        </w:tc>
      </w:tr>
      <w:tr>
        <w:tblPrEx>
          <w:tblCellMar>
            <w:top w:w="0" w:type="dxa"/>
            <w:left w:w="108" w:type="dxa"/>
            <w:bottom w:w="0" w:type="dxa"/>
            <w:right w:w="108" w:type="dxa"/>
          </w:tblCellMar>
        </w:tblPrEx>
        <w:trPr>
          <w:trHeight w:val="285" w:hRule="atLeast"/>
        </w:trPr>
        <w:tc>
          <w:tcPr>
            <w:tcW w:w="3068"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cs="宋体"/>
                <w:kern w:val="0"/>
                <w:sz w:val="30"/>
                <w:szCs w:val="30"/>
                <w:lang w:val="en-US" w:eastAsia="zh-CN"/>
              </w:rPr>
            </w:pPr>
            <w:r>
              <w:rPr>
                <w:rFonts w:hint="eastAsia" w:ascii="宋体" w:hAnsi="宋体" w:cs="宋体"/>
                <w:kern w:val="0"/>
                <w:sz w:val="30"/>
                <w:szCs w:val="30"/>
                <w:lang w:val="en-US" w:eastAsia="zh-CN"/>
              </w:rPr>
              <w:t>教育支出</w:t>
            </w:r>
          </w:p>
        </w:tc>
        <w:tc>
          <w:tcPr>
            <w:tcW w:w="1911" w:type="dxa"/>
            <w:tcBorders>
              <w:top w:val="single" w:color="auto" w:sz="4" w:space="0"/>
              <w:left w:val="single" w:color="auto" w:sz="4" w:space="0"/>
              <w:bottom w:val="single" w:color="auto" w:sz="4" w:space="0"/>
              <w:right w:val="single" w:color="auto" w:sz="4" w:space="0"/>
            </w:tcBorders>
            <w:shd w:val="clear" w:color="auto" w:fill="auto"/>
            <w:noWrap/>
            <w:vAlign w:val="bottom"/>
          </w:tcPr>
          <w:p>
            <w:pPr>
              <w:widowControl/>
              <w:jc w:val="center"/>
              <w:rPr>
                <w:rFonts w:hint="eastAsia" w:ascii="宋体" w:hAnsi="宋体" w:cs="宋体"/>
                <w:kern w:val="0"/>
                <w:sz w:val="30"/>
                <w:szCs w:val="30"/>
              </w:rPr>
            </w:pPr>
            <w:r>
              <w:rPr>
                <w:rFonts w:hint="eastAsia" w:ascii="宋体" w:hAnsi="宋体" w:cs="宋体"/>
                <w:kern w:val="0"/>
                <w:sz w:val="30"/>
                <w:szCs w:val="30"/>
              </w:rPr>
              <w:t>14.57</w:t>
            </w:r>
          </w:p>
        </w:tc>
        <w:tc>
          <w:tcPr>
            <w:tcW w:w="2064" w:type="dxa"/>
            <w:tcBorders>
              <w:top w:val="single" w:color="auto" w:sz="4" w:space="0"/>
              <w:left w:val="single" w:color="auto" w:sz="4" w:space="0"/>
              <w:bottom w:val="single" w:color="auto" w:sz="4" w:space="0"/>
              <w:right w:val="single" w:color="auto" w:sz="4" w:space="0"/>
            </w:tcBorders>
            <w:shd w:val="clear" w:color="auto" w:fill="auto"/>
            <w:noWrap/>
            <w:vAlign w:val="bottom"/>
          </w:tcPr>
          <w:p>
            <w:pPr>
              <w:widowControl/>
              <w:jc w:val="center"/>
              <w:rPr>
                <w:rFonts w:hint="eastAsia" w:ascii="宋体" w:hAnsi="宋体" w:cs="宋体"/>
                <w:kern w:val="0"/>
                <w:sz w:val="30"/>
                <w:szCs w:val="30"/>
              </w:rPr>
            </w:pPr>
            <w:r>
              <w:rPr>
                <w:rFonts w:hint="eastAsia" w:ascii="宋体" w:hAnsi="宋体" w:cs="宋体"/>
                <w:kern w:val="0"/>
                <w:sz w:val="30"/>
                <w:szCs w:val="30"/>
              </w:rPr>
              <w:t>14.13</w:t>
            </w:r>
          </w:p>
        </w:tc>
        <w:tc>
          <w:tcPr>
            <w:tcW w:w="1480" w:type="dxa"/>
            <w:tcBorders>
              <w:top w:val="single" w:color="auto" w:sz="4" w:space="0"/>
              <w:left w:val="single" w:color="auto" w:sz="4" w:space="0"/>
              <w:bottom w:val="single" w:color="auto" w:sz="4" w:space="0"/>
              <w:right w:val="single" w:color="auto" w:sz="4" w:space="0"/>
            </w:tcBorders>
            <w:shd w:val="clear" w:color="auto" w:fill="auto"/>
            <w:noWrap/>
            <w:vAlign w:val="bottom"/>
          </w:tcPr>
          <w:p>
            <w:pPr>
              <w:widowControl/>
              <w:jc w:val="center"/>
              <w:rPr>
                <w:rFonts w:hint="eastAsia" w:ascii="宋体" w:hAnsi="宋体" w:cs="宋体"/>
                <w:kern w:val="0"/>
                <w:sz w:val="30"/>
                <w:szCs w:val="30"/>
                <w:lang w:val="en-US" w:eastAsia="zh-CN"/>
              </w:rPr>
            </w:pPr>
            <w:r>
              <w:rPr>
                <w:rFonts w:hint="eastAsia" w:ascii="宋体" w:hAnsi="宋体" w:cs="宋体"/>
                <w:kern w:val="0"/>
                <w:sz w:val="30"/>
                <w:szCs w:val="30"/>
                <w:lang w:val="en-US" w:eastAsia="zh-CN"/>
              </w:rPr>
              <w:t>3.02</w:t>
            </w:r>
          </w:p>
        </w:tc>
      </w:tr>
    </w:tbl>
    <w:p>
      <w:pPr>
        <w:spacing w:line="240" w:lineRule="auto"/>
        <w:ind w:firstLine="640" w:firstLineChars="200"/>
        <w:outlineLvl w:val="0"/>
        <w:rPr>
          <w:rFonts w:hint="eastAsia" w:ascii="黑体" w:hAnsi="黑体" w:eastAsia="黑体" w:cs="黑体"/>
          <w:color w:val="000000"/>
          <w:kern w:val="0"/>
          <w:sz w:val="32"/>
          <w:szCs w:val="32"/>
        </w:rPr>
      </w:pPr>
      <w:r>
        <w:rPr>
          <w:rFonts w:hint="eastAsia" w:ascii="黑体" w:hAnsi="黑体" w:eastAsia="黑体" w:cs="黑体"/>
          <w:color w:val="000000"/>
          <w:kern w:val="0"/>
          <w:sz w:val="32"/>
          <w:szCs w:val="32"/>
        </w:rPr>
        <w:t>五、总体评价结论</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bCs w:val="0"/>
          <w:color w:val="000000"/>
          <w:kern w:val="0"/>
          <w:sz w:val="32"/>
          <w:szCs w:val="32"/>
          <w:highlight w:val="none"/>
        </w:rPr>
        <w:t>经评价，市农研中心202</w:t>
      </w:r>
      <w:r>
        <w:rPr>
          <w:rFonts w:hint="eastAsia" w:ascii="仿宋_GB2312" w:hAnsi="仿宋_GB2312" w:eastAsia="仿宋_GB2312" w:cs="仿宋_GB2312"/>
          <w:bCs w:val="0"/>
          <w:color w:val="000000"/>
          <w:kern w:val="0"/>
          <w:sz w:val="32"/>
          <w:szCs w:val="32"/>
          <w:highlight w:val="none"/>
          <w:lang w:val="en-US" w:eastAsia="zh-CN"/>
        </w:rPr>
        <w:t>4</w:t>
      </w:r>
      <w:r>
        <w:rPr>
          <w:rFonts w:hint="eastAsia" w:ascii="仿宋_GB2312" w:hAnsi="仿宋_GB2312" w:eastAsia="仿宋_GB2312" w:cs="仿宋_GB2312"/>
          <w:bCs w:val="0"/>
          <w:color w:val="000000"/>
          <w:kern w:val="0"/>
          <w:sz w:val="32"/>
          <w:szCs w:val="32"/>
          <w:highlight w:val="none"/>
        </w:rPr>
        <w:t>年度部门整体支出绩效评价总得分</w:t>
      </w:r>
      <w:r>
        <w:rPr>
          <w:rFonts w:hint="eastAsia" w:ascii="仿宋_GB2312" w:hAnsi="仿宋_GB2312" w:eastAsia="仿宋_GB2312" w:cs="仿宋_GB2312"/>
          <w:bCs w:val="0"/>
          <w:color w:val="000000"/>
          <w:kern w:val="0"/>
          <w:sz w:val="32"/>
          <w:szCs w:val="32"/>
          <w:highlight w:val="none"/>
          <w:lang w:val="en-US" w:eastAsia="zh-CN"/>
        </w:rPr>
        <w:t>91.95</w:t>
      </w:r>
      <w:r>
        <w:rPr>
          <w:rFonts w:hint="eastAsia" w:ascii="仿宋_GB2312" w:hAnsi="仿宋_GB2312" w:eastAsia="仿宋_GB2312" w:cs="仿宋_GB2312"/>
          <w:bCs w:val="0"/>
          <w:color w:val="000000"/>
          <w:kern w:val="0"/>
          <w:sz w:val="32"/>
          <w:szCs w:val="32"/>
          <w:highlight w:val="none"/>
        </w:rPr>
        <w:t>分，评价结果为“</w:t>
      </w:r>
      <w:r>
        <w:rPr>
          <w:rFonts w:hint="eastAsia" w:ascii="仿宋_GB2312" w:hAnsi="仿宋_GB2312" w:eastAsia="仿宋_GB2312" w:cs="仿宋_GB2312"/>
          <w:bCs w:val="0"/>
          <w:color w:val="000000"/>
          <w:kern w:val="0"/>
          <w:sz w:val="32"/>
          <w:szCs w:val="32"/>
          <w:highlight w:val="none"/>
          <w:lang w:val="en-US" w:eastAsia="zh-CN"/>
        </w:rPr>
        <w:t>优</w:t>
      </w:r>
      <w:r>
        <w:rPr>
          <w:rFonts w:hint="eastAsia" w:ascii="仿宋_GB2312" w:hAnsi="仿宋_GB2312" w:eastAsia="仿宋_GB2312" w:cs="仿宋_GB2312"/>
          <w:bCs w:val="0"/>
          <w:color w:val="000000"/>
          <w:kern w:val="0"/>
          <w:sz w:val="32"/>
          <w:szCs w:val="32"/>
          <w:highlight w:val="none"/>
        </w:rPr>
        <w:t>”。其中当年预算执行情况得分为</w:t>
      </w:r>
      <w:r>
        <w:rPr>
          <w:rFonts w:hint="eastAsia" w:ascii="仿宋_GB2312" w:hAnsi="仿宋_GB2312" w:eastAsia="仿宋_GB2312" w:cs="仿宋_GB2312"/>
          <w:bCs w:val="0"/>
          <w:color w:val="000000"/>
          <w:kern w:val="0"/>
          <w:sz w:val="32"/>
          <w:szCs w:val="32"/>
          <w:highlight w:val="none"/>
          <w:lang w:val="en-US" w:eastAsia="zh-CN"/>
        </w:rPr>
        <w:t>17.81</w:t>
      </w:r>
      <w:r>
        <w:rPr>
          <w:rFonts w:hint="eastAsia" w:ascii="仿宋_GB2312" w:hAnsi="仿宋_GB2312" w:eastAsia="仿宋_GB2312" w:cs="仿宋_GB2312"/>
          <w:bCs w:val="0"/>
          <w:color w:val="000000"/>
          <w:kern w:val="0"/>
          <w:sz w:val="32"/>
          <w:szCs w:val="32"/>
          <w:highlight w:val="none"/>
        </w:rPr>
        <w:t>分；整体绩效目标实现情况得分为</w:t>
      </w:r>
      <w:r>
        <w:rPr>
          <w:rFonts w:hint="eastAsia" w:ascii="仿宋_GB2312" w:hAnsi="仿宋_GB2312" w:eastAsia="仿宋_GB2312" w:cs="仿宋_GB2312"/>
          <w:bCs w:val="0"/>
          <w:color w:val="000000"/>
          <w:kern w:val="0"/>
          <w:sz w:val="32"/>
          <w:szCs w:val="32"/>
          <w:highlight w:val="none"/>
          <w:lang w:val="en-US" w:eastAsia="zh-CN"/>
        </w:rPr>
        <w:t>56.50</w:t>
      </w:r>
      <w:r>
        <w:rPr>
          <w:rFonts w:hint="eastAsia" w:ascii="仿宋_GB2312" w:hAnsi="仿宋_GB2312" w:eastAsia="仿宋_GB2312" w:cs="仿宋_GB2312"/>
          <w:bCs w:val="0"/>
          <w:color w:val="000000"/>
          <w:kern w:val="0"/>
          <w:sz w:val="32"/>
          <w:szCs w:val="32"/>
          <w:highlight w:val="none"/>
        </w:rPr>
        <w:t>分；预算管理情况得分</w:t>
      </w:r>
      <w:r>
        <w:rPr>
          <w:rFonts w:hint="eastAsia" w:ascii="仿宋_GB2312" w:hAnsi="仿宋_GB2312" w:eastAsia="仿宋_GB2312" w:cs="仿宋_GB2312"/>
          <w:bCs w:val="0"/>
          <w:color w:val="000000"/>
          <w:kern w:val="0"/>
          <w:sz w:val="32"/>
          <w:szCs w:val="32"/>
          <w:highlight w:val="none"/>
          <w:lang w:val="en-US" w:eastAsia="zh-CN"/>
        </w:rPr>
        <w:t>17.14</w:t>
      </w:r>
      <w:r>
        <w:rPr>
          <w:rFonts w:hint="eastAsia" w:ascii="仿宋_GB2312" w:hAnsi="仿宋_GB2312" w:eastAsia="仿宋_GB2312" w:cs="仿宋_GB2312"/>
          <w:bCs w:val="0"/>
          <w:color w:val="000000"/>
          <w:kern w:val="0"/>
          <w:sz w:val="32"/>
          <w:szCs w:val="32"/>
          <w:highlight w:val="none"/>
        </w:rPr>
        <w:t>分。</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color w:val="000000"/>
          <w:kern w:val="0"/>
          <w:sz w:val="32"/>
          <w:szCs w:val="32"/>
          <w:highlight w:val="yellow"/>
        </w:rPr>
      </w:pPr>
      <w:r>
        <w:rPr>
          <w:rFonts w:hint="eastAsia" w:ascii="仿宋_GB2312" w:hAnsi="仿宋_GB2312" w:eastAsia="仿宋_GB2312" w:cs="仿宋_GB2312"/>
          <w:bCs w:val="0"/>
          <w:color w:val="000000"/>
          <w:kern w:val="0"/>
          <w:sz w:val="32"/>
          <w:szCs w:val="32"/>
          <w:highlight w:val="none"/>
        </w:rPr>
        <w:t>202</w:t>
      </w:r>
      <w:r>
        <w:rPr>
          <w:rFonts w:hint="eastAsia" w:ascii="仿宋_GB2312" w:hAnsi="仿宋_GB2312" w:eastAsia="仿宋_GB2312" w:cs="仿宋_GB2312"/>
          <w:bCs w:val="0"/>
          <w:color w:val="000000"/>
          <w:kern w:val="0"/>
          <w:sz w:val="32"/>
          <w:szCs w:val="32"/>
          <w:highlight w:val="none"/>
          <w:lang w:val="en-US" w:eastAsia="zh-CN"/>
        </w:rPr>
        <w:t>5</w:t>
      </w:r>
      <w:r>
        <w:rPr>
          <w:rFonts w:hint="eastAsia" w:ascii="仿宋_GB2312" w:hAnsi="仿宋_GB2312" w:eastAsia="仿宋_GB2312" w:cs="仿宋_GB2312"/>
          <w:bCs w:val="0"/>
          <w:color w:val="000000"/>
          <w:kern w:val="0"/>
          <w:sz w:val="32"/>
          <w:szCs w:val="32"/>
          <w:highlight w:val="none"/>
        </w:rPr>
        <w:t>年，市农研中心对202</w:t>
      </w:r>
      <w:r>
        <w:rPr>
          <w:rFonts w:hint="eastAsia" w:ascii="仿宋_GB2312" w:hAnsi="仿宋_GB2312" w:eastAsia="仿宋_GB2312" w:cs="仿宋_GB2312"/>
          <w:bCs w:val="0"/>
          <w:color w:val="000000"/>
          <w:kern w:val="0"/>
          <w:sz w:val="32"/>
          <w:szCs w:val="32"/>
          <w:highlight w:val="none"/>
          <w:lang w:val="en-US" w:eastAsia="zh-CN"/>
        </w:rPr>
        <w:t>4</w:t>
      </w:r>
      <w:r>
        <w:rPr>
          <w:rFonts w:hint="eastAsia" w:ascii="仿宋_GB2312" w:hAnsi="仿宋_GB2312" w:eastAsia="仿宋_GB2312" w:cs="仿宋_GB2312"/>
          <w:bCs w:val="0"/>
          <w:color w:val="000000"/>
          <w:kern w:val="0"/>
          <w:sz w:val="32"/>
          <w:szCs w:val="32"/>
          <w:highlight w:val="none"/>
        </w:rPr>
        <w:t>年度部门项目支出实施了绩效评价，评价项目</w:t>
      </w:r>
      <w:r>
        <w:rPr>
          <w:rFonts w:hint="eastAsia" w:ascii="仿宋_GB2312" w:hAnsi="仿宋_GB2312" w:eastAsia="仿宋_GB2312" w:cs="仿宋_GB2312"/>
          <w:bCs w:val="0"/>
          <w:color w:val="000000"/>
          <w:kern w:val="0"/>
          <w:sz w:val="32"/>
          <w:szCs w:val="32"/>
          <w:highlight w:val="none"/>
          <w:lang w:val="en-US" w:eastAsia="zh-CN"/>
        </w:rPr>
        <w:t>20个</w:t>
      </w:r>
      <w:r>
        <w:rPr>
          <w:rFonts w:hint="eastAsia" w:ascii="仿宋_GB2312" w:hAnsi="仿宋_GB2312" w:eastAsia="仿宋_GB2312" w:cs="仿宋_GB2312"/>
          <w:bCs w:val="0"/>
          <w:color w:val="000000"/>
          <w:kern w:val="0"/>
          <w:sz w:val="32"/>
          <w:szCs w:val="32"/>
          <w:highlight w:val="none"/>
        </w:rPr>
        <w:t>，涉及金额</w:t>
      </w:r>
      <w:r>
        <w:rPr>
          <w:rFonts w:hint="eastAsia" w:ascii="仿宋_GB2312" w:hAnsi="仿宋_GB2312" w:eastAsia="仿宋_GB2312" w:cs="仿宋_GB2312"/>
          <w:bCs w:val="0"/>
          <w:color w:val="auto"/>
          <w:kern w:val="0"/>
          <w:sz w:val="32"/>
          <w:szCs w:val="32"/>
          <w:highlight w:val="none"/>
          <w:lang w:val="en-US" w:eastAsia="zh-CN"/>
        </w:rPr>
        <w:t>1,</w:t>
      </w:r>
      <w:r>
        <w:rPr>
          <w:rFonts w:hint="default" w:ascii="仿宋_GB2312" w:hAnsi="仿宋_GB2312" w:eastAsia="仿宋_GB2312" w:cs="仿宋_GB2312"/>
          <w:bCs w:val="0"/>
          <w:color w:val="auto"/>
          <w:kern w:val="0"/>
          <w:sz w:val="32"/>
          <w:szCs w:val="32"/>
          <w:highlight w:val="none"/>
          <w:lang w:val="en" w:eastAsia="zh-CN"/>
        </w:rPr>
        <w:t>989.43</w:t>
      </w:r>
      <w:r>
        <w:rPr>
          <w:rFonts w:hint="eastAsia" w:ascii="仿宋_GB2312" w:hAnsi="仿宋_GB2312" w:eastAsia="仿宋_GB2312" w:cs="仿宋_GB2312"/>
          <w:bCs w:val="0"/>
          <w:color w:val="000000"/>
          <w:kern w:val="0"/>
          <w:sz w:val="32"/>
          <w:szCs w:val="32"/>
          <w:highlight w:val="none"/>
        </w:rPr>
        <w:t>万元。其中：部门评价项目3个，涉及金额</w:t>
      </w:r>
      <w:r>
        <w:rPr>
          <w:rFonts w:hint="eastAsia" w:ascii="仿宋_GB2312" w:hAnsi="仿宋_GB2312" w:eastAsia="仿宋_GB2312" w:cs="仿宋_GB2312"/>
          <w:bCs w:val="0"/>
          <w:color w:val="000000"/>
          <w:kern w:val="0"/>
          <w:sz w:val="32"/>
          <w:szCs w:val="32"/>
          <w:highlight w:val="none"/>
          <w:lang w:val="en-US" w:eastAsia="zh-CN"/>
        </w:rPr>
        <w:t>8</w:t>
      </w:r>
      <w:r>
        <w:rPr>
          <w:rFonts w:hint="default" w:ascii="仿宋_GB2312" w:hAnsi="仿宋_GB2312" w:eastAsia="仿宋_GB2312" w:cs="仿宋_GB2312"/>
          <w:bCs w:val="0"/>
          <w:color w:val="000000"/>
          <w:kern w:val="0"/>
          <w:sz w:val="32"/>
          <w:szCs w:val="32"/>
          <w:highlight w:val="none"/>
          <w:lang w:val="en" w:eastAsia="zh-CN"/>
        </w:rPr>
        <w:t>74.19</w:t>
      </w:r>
      <w:r>
        <w:rPr>
          <w:rFonts w:hint="eastAsia" w:ascii="仿宋_GB2312" w:hAnsi="仿宋_GB2312" w:eastAsia="仿宋_GB2312" w:cs="仿宋_GB2312"/>
          <w:bCs w:val="0"/>
          <w:color w:val="000000"/>
          <w:kern w:val="0"/>
          <w:sz w:val="32"/>
          <w:szCs w:val="32"/>
          <w:highlight w:val="none"/>
        </w:rPr>
        <w:t>万元，评价得分在80（含）-90分的</w:t>
      </w:r>
      <w:r>
        <w:rPr>
          <w:rFonts w:hint="eastAsia" w:ascii="仿宋_GB2312" w:hAnsi="仿宋_GB2312" w:eastAsia="仿宋_GB2312" w:cs="仿宋_GB2312"/>
          <w:bCs w:val="0"/>
          <w:color w:val="000000"/>
          <w:kern w:val="0"/>
          <w:sz w:val="32"/>
          <w:szCs w:val="32"/>
          <w:highlight w:val="none"/>
          <w:lang w:val="en-US" w:eastAsia="zh-CN"/>
        </w:rPr>
        <w:t>3</w:t>
      </w:r>
      <w:r>
        <w:rPr>
          <w:rFonts w:hint="eastAsia" w:ascii="仿宋_GB2312" w:hAnsi="仿宋_GB2312" w:eastAsia="仿宋_GB2312" w:cs="仿宋_GB2312"/>
          <w:bCs w:val="0"/>
          <w:color w:val="000000"/>
          <w:kern w:val="0"/>
          <w:sz w:val="32"/>
          <w:szCs w:val="32"/>
          <w:highlight w:val="none"/>
        </w:rPr>
        <w:t>个，平均得分</w:t>
      </w:r>
      <w:r>
        <w:rPr>
          <w:rFonts w:hint="eastAsia" w:ascii="仿宋_GB2312" w:hAnsi="仿宋_GB2312" w:eastAsia="仿宋_GB2312" w:cs="仿宋_GB2312"/>
          <w:bCs w:val="0"/>
          <w:color w:val="000000"/>
          <w:kern w:val="0"/>
          <w:sz w:val="32"/>
          <w:szCs w:val="32"/>
          <w:highlight w:val="none"/>
          <w:lang w:val="en-US" w:eastAsia="zh-CN"/>
        </w:rPr>
        <w:t>8</w:t>
      </w:r>
      <w:r>
        <w:rPr>
          <w:rFonts w:hint="default" w:ascii="仿宋_GB2312" w:hAnsi="仿宋_GB2312" w:eastAsia="仿宋_GB2312" w:cs="仿宋_GB2312"/>
          <w:bCs w:val="0"/>
          <w:color w:val="000000"/>
          <w:kern w:val="0"/>
          <w:sz w:val="32"/>
          <w:szCs w:val="32"/>
          <w:highlight w:val="none"/>
          <w:lang w:val="en" w:eastAsia="zh-CN"/>
        </w:rPr>
        <w:t>5</w:t>
      </w:r>
      <w:r>
        <w:rPr>
          <w:rFonts w:hint="eastAsia" w:ascii="仿宋_GB2312" w:hAnsi="仿宋_GB2312" w:eastAsia="仿宋_GB2312" w:cs="仿宋_GB2312"/>
          <w:bCs w:val="0"/>
          <w:color w:val="000000"/>
          <w:kern w:val="0"/>
          <w:sz w:val="32"/>
          <w:szCs w:val="32"/>
          <w:highlight w:val="none"/>
          <w:lang w:val="en-US" w:eastAsia="zh-CN"/>
        </w:rPr>
        <w:t>.</w:t>
      </w:r>
      <w:r>
        <w:rPr>
          <w:rFonts w:hint="default" w:ascii="仿宋_GB2312" w:hAnsi="仿宋_GB2312" w:eastAsia="仿宋_GB2312" w:cs="仿宋_GB2312"/>
          <w:bCs w:val="0"/>
          <w:color w:val="000000"/>
          <w:kern w:val="0"/>
          <w:sz w:val="32"/>
          <w:szCs w:val="32"/>
          <w:highlight w:val="none"/>
          <w:lang w:val="en" w:eastAsia="zh-CN"/>
        </w:rPr>
        <w:t>34</w:t>
      </w:r>
      <w:r>
        <w:rPr>
          <w:rFonts w:hint="eastAsia" w:ascii="仿宋_GB2312" w:hAnsi="仿宋_GB2312" w:eastAsia="仿宋_GB2312" w:cs="仿宋_GB2312"/>
          <w:bCs w:val="0"/>
          <w:color w:val="000000"/>
          <w:kern w:val="0"/>
          <w:sz w:val="32"/>
          <w:szCs w:val="32"/>
          <w:highlight w:val="none"/>
        </w:rPr>
        <w:t>分；单位自评项目</w:t>
      </w:r>
      <w:r>
        <w:rPr>
          <w:rFonts w:hint="eastAsia" w:ascii="仿宋_GB2312" w:hAnsi="仿宋_GB2312" w:eastAsia="仿宋_GB2312" w:cs="仿宋_GB2312"/>
          <w:bCs w:val="0"/>
          <w:color w:val="000000"/>
          <w:kern w:val="0"/>
          <w:sz w:val="32"/>
          <w:szCs w:val="32"/>
          <w:highlight w:val="none"/>
          <w:lang w:val="en-US" w:eastAsia="zh-CN"/>
        </w:rPr>
        <w:t>17</w:t>
      </w:r>
      <w:r>
        <w:rPr>
          <w:rFonts w:hint="eastAsia" w:ascii="仿宋_GB2312" w:hAnsi="仿宋_GB2312" w:eastAsia="仿宋_GB2312" w:cs="仿宋_GB2312"/>
          <w:bCs w:val="0"/>
          <w:color w:val="000000"/>
          <w:kern w:val="0"/>
          <w:sz w:val="32"/>
          <w:szCs w:val="32"/>
          <w:highlight w:val="none"/>
        </w:rPr>
        <w:t>个，涉及金</w:t>
      </w:r>
      <w:r>
        <w:rPr>
          <w:rFonts w:hint="eastAsia" w:ascii="仿宋_GB2312" w:hAnsi="仿宋_GB2312" w:eastAsia="仿宋_GB2312" w:cs="仿宋_GB2312"/>
          <w:bCs w:val="0"/>
          <w:color w:val="000000"/>
          <w:kern w:val="0"/>
          <w:sz w:val="32"/>
          <w:szCs w:val="32"/>
          <w:highlight w:val="none"/>
          <w:lang w:val="en-US" w:eastAsia="zh-CN"/>
        </w:rPr>
        <w:t>额</w:t>
      </w:r>
      <w:r>
        <w:rPr>
          <w:rFonts w:hint="default" w:ascii="仿宋_GB2312" w:hAnsi="仿宋_GB2312" w:eastAsia="仿宋_GB2312" w:cs="仿宋_GB2312"/>
          <w:bCs w:val="0"/>
          <w:color w:val="000000"/>
          <w:kern w:val="0"/>
          <w:sz w:val="32"/>
          <w:szCs w:val="32"/>
          <w:highlight w:val="none"/>
          <w:lang w:val="en" w:eastAsia="zh-CN"/>
        </w:rPr>
        <w:t>1115.24</w:t>
      </w:r>
      <w:r>
        <w:rPr>
          <w:rFonts w:hint="eastAsia" w:ascii="仿宋_GB2312" w:hAnsi="仿宋_GB2312" w:eastAsia="仿宋_GB2312" w:cs="仿宋_GB2312"/>
          <w:bCs w:val="0"/>
          <w:color w:val="000000"/>
          <w:kern w:val="0"/>
          <w:sz w:val="32"/>
          <w:szCs w:val="32"/>
          <w:highlight w:val="none"/>
        </w:rPr>
        <w:t>万元，评价得分</w:t>
      </w:r>
      <w:r>
        <w:rPr>
          <w:rFonts w:hint="eastAsia" w:ascii="仿宋_GB2312" w:hAnsi="仿宋_GB2312" w:eastAsia="仿宋_GB2312" w:cs="仿宋_GB2312"/>
          <w:bCs w:val="0"/>
          <w:color w:val="000000"/>
          <w:kern w:val="0"/>
          <w:sz w:val="32"/>
          <w:szCs w:val="32"/>
          <w:highlight w:val="none"/>
          <w:lang w:eastAsia="zh-CN"/>
        </w:rPr>
        <w:t>在</w:t>
      </w:r>
      <w:r>
        <w:rPr>
          <w:rFonts w:hint="eastAsia" w:ascii="仿宋_GB2312" w:hAnsi="仿宋_GB2312" w:eastAsia="仿宋_GB2312" w:cs="仿宋_GB2312"/>
          <w:bCs w:val="0"/>
          <w:color w:val="000000"/>
          <w:kern w:val="0"/>
          <w:sz w:val="32"/>
          <w:szCs w:val="32"/>
          <w:highlight w:val="none"/>
          <w:lang w:val="en-US" w:eastAsia="zh-CN"/>
        </w:rPr>
        <w:t>80（含）-90分的1个，</w:t>
      </w:r>
      <w:r>
        <w:rPr>
          <w:rFonts w:hint="eastAsia" w:ascii="仿宋_GB2312" w:hAnsi="仿宋_GB2312" w:eastAsia="仿宋_GB2312" w:cs="仿宋_GB2312"/>
          <w:bCs w:val="0"/>
          <w:color w:val="000000"/>
          <w:kern w:val="0"/>
          <w:sz w:val="32"/>
          <w:szCs w:val="32"/>
          <w:highlight w:val="none"/>
        </w:rPr>
        <w:t>90（含）-100分的</w:t>
      </w:r>
      <w:r>
        <w:rPr>
          <w:rFonts w:hint="eastAsia" w:ascii="仿宋_GB2312" w:hAnsi="仿宋_GB2312" w:eastAsia="仿宋_GB2312" w:cs="仿宋_GB2312"/>
          <w:bCs w:val="0"/>
          <w:color w:val="000000"/>
          <w:kern w:val="0"/>
          <w:sz w:val="32"/>
          <w:szCs w:val="32"/>
          <w:highlight w:val="none"/>
          <w:lang w:val="en-US" w:eastAsia="zh-CN"/>
        </w:rPr>
        <w:t>16</w:t>
      </w:r>
      <w:r>
        <w:rPr>
          <w:rFonts w:hint="eastAsia" w:ascii="仿宋_GB2312" w:hAnsi="仿宋_GB2312" w:eastAsia="仿宋_GB2312" w:cs="仿宋_GB2312"/>
          <w:bCs w:val="0"/>
          <w:color w:val="000000"/>
          <w:kern w:val="0"/>
          <w:sz w:val="32"/>
          <w:szCs w:val="32"/>
          <w:highlight w:val="none"/>
        </w:rPr>
        <w:t>个</w:t>
      </w:r>
      <w:r>
        <w:rPr>
          <w:rFonts w:hint="eastAsia" w:ascii="仿宋_GB2312" w:hAnsi="仿宋_GB2312" w:eastAsia="仿宋_GB2312" w:cs="仿宋_GB2312"/>
          <w:bCs w:val="0"/>
          <w:color w:val="000000"/>
          <w:kern w:val="0"/>
          <w:sz w:val="32"/>
          <w:szCs w:val="32"/>
          <w:highlight w:val="none"/>
          <w:lang w:eastAsia="zh-CN"/>
        </w:rPr>
        <w:t>，</w:t>
      </w:r>
      <w:r>
        <w:rPr>
          <w:rFonts w:hint="eastAsia" w:ascii="仿宋_GB2312" w:hAnsi="仿宋_GB2312" w:eastAsia="仿宋_GB2312" w:cs="仿宋_GB2312"/>
          <w:bCs w:val="0"/>
          <w:color w:val="000000"/>
          <w:kern w:val="0"/>
          <w:sz w:val="32"/>
          <w:szCs w:val="32"/>
          <w:highlight w:val="none"/>
        </w:rPr>
        <w:t>平均得分</w:t>
      </w:r>
      <w:r>
        <w:rPr>
          <w:rFonts w:hint="eastAsia" w:ascii="仿宋_GB2312" w:hAnsi="仿宋_GB2312" w:eastAsia="仿宋_GB2312" w:cs="仿宋_GB2312"/>
          <w:bCs w:val="0"/>
          <w:color w:val="000000"/>
          <w:kern w:val="0"/>
          <w:sz w:val="32"/>
          <w:szCs w:val="32"/>
          <w:highlight w:val="none"/>
          <w:lang w:val="en-US" w:eastAsia="zh-CN"/>
        </w:rPr>
        <w:t>93.55</w:t>
      </w:r>
      <w:r>
        <w:rPr>
          <w:rFonts w:hint="eastAsia" w:ascii="仿宋_GB2312" w:hAnsi="仿宋_GB2312" w:eastAsia="仿宋_GB2312" w:cs="仿宋_GB2312"/>
          <w:bCs w:val="0"/>
          <w:color w:val="000000"/>
          <w:kern w:val="0"/>
          <w:sz w:val="32"/>
          <w:szCs w:val="32"/>
          <w:highlight w:val="none"/>
        </w:rPr>
        <w:t>分。</w:t>
      </w:r>
    </w:p>
    <w:p>
      <w:pPr>
        <w:keepNext w:val="0"/>
        <w:keepLines w:val="0"/>
        <w:pageBreakBefore w:val="0"/>
        <w:widowControl w:val="0"/>
        <w:kinsoku/>
        <w:wordWrap/>
        <w:overflowPunct/>
        <w:topLinePunct w:val="0"/>
        <w:autoSpaceDE/>
        <w:autoSpaceDN/>
        <w:bidi w:val="0"/>
        <w:adjustRightInd/>
        <w:snapToGrid/>
        <w:spacing w:before="160" w:beforeLines="50" w:after="160" w:afterLines="50" w:line="560" w:lineRule="exact"/>
        <w:jc w:val="center"/>
        <w:textAlignment w:val="auto"/>
        <w:rPr>
          <w:rFonts w:ascii="仿宋_GB2312" w:hAnsi="仿宋_GB2312" w:eastAsia="仿宋_GB2312" w:cs="仿宋_GB2312"/>
          <w:b/>
          <w:bCs/>
          <w:color w:val="auto"/>
          <w:sz w:val="32"/>
          <w:szCs w:val="32"/>
          <w:highlight w:val="yellow"/>
        </w:rPr>
      </w:pPr>
      <w:r>
        <w:rPr>
          <w:rFonts w:hint="eastAsia" w:ascii="仿宋_GB2312" w:hAnsi="仿宋_GB2312" w:eastAsia="仿宋_GB2312" w:cs="仿宋_GB2312"/>
          <w:b/>
          <w:bCs/>
          <w:color w:val="auto"/>
          <w:sz w:val="32"/>
          <w:szCs w:val="32"/>
          <w:highlight w:val="none"/>
        </w:rPr>
        <w:t>202</w:t>
      </w:r>
      <w:r>
        <w:rPr>
          <w:rFonts w:hint="eastAsia" w:ascii="仿宋_GB2312" w:hAnsi="仿宋_GB2312" w:eastAsia="仿宋_GB2312" w:cs="仿宋_GB2312"/>
          <w:b/>
          <w:bCs/>
          <w:color w:val="auto"/>
          <w:sz w:val="32"/>
          <w:szCs w:val="32"/>
          <w:highlight w:val="none"/>
          <w:lang w:val="en-US" w:eastAsia="zh-CN"/>
        </w:rPr>
        <w:t>4</w:t>
      </w:r>
      <w:r>
        <w:rPr>
          <w:rFonts w:hint="eastAsia" w:ascii="仿宋_GB2312" w:hAnsi="仿宋_GB2312" w:eastAsia="仿宋_GB2312" w:cs="仿宋_GB2312"/>
          <w:b/>
          <w:bCs/>
          <w:color w:val="auto"/>
          <w:sz w:val="32"/>
          <w:szCs w:val="32"/>
          <w:highlight w:val="none"/>
        </w:rPr>
        <w:t>年部门整体绩效评价指标体系评分一览表</w:t>
      </w:r>
    </w:p>
    <w:tbl>
      <w:tblPr>
        <w:tblStyle w:val="11"/>
        <w:tblW w:w="925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1245"/>
        <w:gridCol w:w="2318"/>
        <w:gridCol w:w="3151"/>
        <w:gridCol w:w="1288"/>
        <w:gridCol w:w="12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blHeader/>
          <w:jc w:val="center"/>
        </w:trPr>
        <w:tc>
          <w:tcPr>
            <w:tcW w:w="1245" w:type="dxa"/>
            <w:shd w:val="clear" w:color="auto" w:fill="auto"/>
            <w:vAlign w:val="center"/>
          </w:tcPr>
          <w:p>
            <w:pPr>
              <w:keepNext w:val="0"/>
              <w:keepLines w:val="0"/>
              <w:widowControl/>
              <w:suppressLineNumbers w:val="0"/>
              <w:jc w:val="center"/>
              <w:textAlignment w:val="center"/>
              <w:rPr>
                <w:rFonts w:ascii="仿宋_GB2312" w:hAnsi="宋体" w:eastAsia="仿宋_GB2312" w:cs="仿宋_GB2312"/>
                <w:b/>
                <w:bCs/>
                <w:i w:val="0"/>
                <w:iCs w:val="0"/>
                <w:color w:val="auto"/>
                <w:sz w:val="22"/>
                <w:szCs w:val="22"/>
                <w:u w:val="none"/>
              </w:rPr>
            </w:pPr>
            <w:r>
              <w:rPr>
                <w:rFonts w:hint="eastAsia" w:ascii="仿宋_GB2312" w:hAnsi="宋体" w:eastAsia="仿宋_GB2312" w:cs="仿宋_GB2312"/>
                <w:b/>
                <w:bCs/>
                <w:i w:val="0"/>
                <w:iCs w:val="0"/>
                <w:color w:val="auto"/>
                <w:kern w:val="0"/>
                <w:sz w:val="22"/>
                <w:szCs w:val="22"/>
                <w:u w:val="none"/>
                <w:lang w:val="en-US" w:eastAsia="zh-CN" w:bidi="ar"/>
              </w:rPr>
              <w:t>一级指标</w:t>
            </w:r>
          </w:p>
        </w:tc>
        <w:tc>
          <w:tcPr>
            <w:tcW w:w="2318" w:type="dxa"/>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b/>
                <w:bCs/>
                <w:i w:val="0"/>
                <w:iCs w:val="0"/>
                <w:color w:val="auto"/>
                <w:sz w:val="22"/>
                <w:szCs w:val="22"/>
                <w:u w:val="none"/>
              </w:rPr>
            </w:pPr>
            <w:r>
              <w:rPr>
                <w:rFonts w:hint="eastAsia" w:ascii="仿宋_GB2312" w:hAnsi="宋体" w:eastAsia="仿宋_GB2312" w:cs="仿宋_GB2312"/>
                <w:b/>
                <w:bCs/>
                <w:i w:val="0"/>
                <w:iCs w:val="0"/>
                <w:color w:val="auto"/>
                <w:kern w:val="0"/>
                <w:sz w:val="22"/>
                <w:szCs w:val="22"/>
                <w:u w:val="none"/>
                <w:lang w:val="en-US" w:eastAsia="zh-CN" w:bidi="ar"/>
              </w:rPr>
              <w:t>二级指标</w:t>
            </w:r>
          </w:p>
        </w:tc>
        <w:tc>
          <w:tcPr>
            <w:tcW w:w="3151" w:type="dxa"/>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b/>
                <w:bCs/>
                <w:i w:val="0"/>
                <w:iCs w:val="0"/>
                <w:color w:val="auto"/>
                <w:sz w:val="22"/>
                <w:szCs w:val="22"/>
                <w:u w:val="none"/>
              </w:rPr>
            </w:pPr>
            <w:r>
              <w:rPr>
                <w:rFonts w:hint="eastAsia" w:ascii="仿宋_GB2312" w:hAnsi="宋体" w:eastAsia="仿宋_GB2312" w:cs="仿宋_GB2312"/>
                <w:b/>
                <w:bCs/>
                <w:i w:val="0"/>
                <w:iCs w:val="0"/>
                <w:color w:val="auto"/>
                <w:kern w:val="0"/>
                <w:sz w:val="22"/>
                <w:szCs w:val="22"/>
                <w:u w:val="none"/>
                <w:lang w:val="en-US" w:eastAsia="zh-CN" w:bidi="ar"/>
              </w:rPr>
              <w:t>三级指标</w:t>
            </w:r>
          </w:p>
        </w:tc>
        <w:tc>
          <w:tcPr>
            <w:tcW w:w="1288" w:type="dxa"/>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b/>
                <w:bCs/>
                <w:i w:val="0"/>
                <w:iCs w:val="0"/>
                <w:color w:val="auto"/>
                <w:sz w:val="22"/>
                <w:szCs w:val="22"/>
                <w:u w:val="none"/>
              </w:rPr>
            </w:pPr>
            <w:r>
              <w:rPr>
                <w:rFonts w:hint="eastAsia" w:ascii="仿宋_GB2312" w:hAnsi="宋体" w:eastAsia="仿宋_GB2312" w:cs="仿宋_GB2312"/>
                <w:b/>
                <w:bCs/>
                <w:i w:val="0"/>
                <w:iCs w:val="0"/>
                <w:color w:val="auto"/>
                <w:kern w:val="0"/>
                <w:sz w:val="22"/>
                <w:szCs w:val="22"/>
                <w:u w:val="none"/>
                <w:lang w:val="en-US" w:eastAsia="zh-CN" w:bidi="ar"/>
              </w:rPr>
              <w:t>分值</w:t>
            </w:r>
          </w:p>
        </w:tc>
        <w:tc>
          <w:tcPr>
            <w:tcW w:w="1255" w:type="dxa"/>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b/>
                <w:bCs/>
                <w:i w:val="0"/>
                <w:iCs w:val="0"/>
                <w:color w:val="auto"/>
                <w:sz w:val="22"/>
                <w:szCs w:val="22"/>
                <w:u w:val="none"/>
              </w:rPr>
            </w:pPr>
            <w:r>
              <w:rPr>
                <w:rFonts w:hint="eastAsia" w:ascii="仿宋_GB2312" w:hAnsi="宋体" w:eastAsia="仿宋_GB2312" w:cs="仿宋_GB2312"/>
                <w:b/>
                <w:bCs/>
                <w:i w:val="0"/>
                <w:iCs w:val="0"/>
                <w:color w:val="auto"/>
                <w:kern w:val="0"/>
                <w:sz w:val="22"/>
                <w:szCs w:val="22"/>
                <w:u w:val="none"/>
                <w:lang w:val="en-US" w:eastAsia="zh-CN" w:bidi="ar"/>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245" w:type="dxa"/>
            <w:vMerge w:val="restart"/>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u w:val="none"/>
              </w:rPr>
            </w:pPr>
            <w:r>
              <w:rPr>
                <w:rFonts w:hint="eastAsia" w:ascii="仿宋_GB2312" w:hAnsi="宋体" w:eastAsia="仿宋_GB2312" w:cs="仿宋_GB2312"/>
                <w:i w:val="0"/>
                <w:iCs w:val="0"/>
                <w:color w:val="auto"/>
                <w:kern w:val="0"/>
                <w:sz w:val="22"/>
                <w:szCs w:val="22"/>
                <w:u w:val="none"/>
                <w:lang w:val="en-US" w:eastAsia="zh-CN" w:bidi="ar"/>
              </w:rPr>
              <w:t>当年预算执行情况（20）</w:t>
            </w:r>
          </w:p>
        </w:tc>
        <w:tc>
          <w:tcPr>
            <w:tcW w:w="2318" w:type="dxa"/>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u w:val="none"/>
              </w:rPr>
            </w:pPr>
            <w:r>
              <w:rPr>
                <w:rFonts w:hint="eastAsia" w:ascii="仿宋_GB2312" w:hAnsi="宋体" w:eastAsia="仿宋_GB2312" w:cs="仿宋_GB2312"/>
                <w:i w:val="0"/>
                <w:iCs w:val="0"/>
                <w:color w:val="auto"/>
                <w:kern w:val="0"/>
                <w:sz w:val="22"/>
                <w:szCs w:val="22"/>
                <w:u w:val="none"/>
                <w:lang w:val="en-US" w:eastAsia="zh-CN" w:bidi="ar"/>
              </w:rPr>
              <w:t>资金总体</w:t>
            </w:r>
          </w:p>
        </w:tc>
        <w:tc>
          <w:tcPr>
            <w:tcW w:w="3151" w:type="dxa"/>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u w:val="none"/>
              </w:rPr>
            </w:pPr>
            <w:r>
              <w:rPr>
                <w:rFonts w:hint="eastAsia" w:ascii="仿宋_GB2312" w:hAnsi="宋体" w:eastAsia="仿宋_GB2312" w:cs="仿宋_GB2312"/>
                <w:i w:val="0"/>
                <w:iCs w:val="0"/>
                <w:color w:val="auto"/>
                <w:kern w:val="0"/>
                <w:sz w:val="22"/>
                <w:szCs w:val="22"/>
                <w:u w:val="none"/>
                <w:lang w:val="en-US" w:eastAsia="zh-CN" w:bidi="ar"/>
              </w:rPr>
              <w:t>-</w:t>
            </w:r>
          </w:p>
        </w:tc>
        <w:tc>
          <w:tcPr>
            <w:tcW w:w="1288" w:type="dxa"/>
            <w:vMerge w:val="restart"/>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u w:val="none"/>
              </w:rPr>
            </w:pPr>
            <w:r>
              <w:rPr>
                <w:rFonts w:hint="eastAsia" w:ascii="仿宋_GB2312" w:hAnsi="宋体" w:eastAsia="仿宋_GB2312" w:cs="仿宋_GB2312"/>
                <w:i w:val="0"/>
                <w:iCs w:val="0"/>
                <w:color w:val="auto"/>
                <w:kern w:val="0"/>
                <w:sz w:val="22"/>
                <w:szCs w:val="22"/>
                <w:u w:val="none"/>
                <w:lang w:val="en-US" w:eastAsia="zh-CN" w:bidi="ar"/>
              </w:rPr>
              <w:t>20.00</w:t>
            </w:r>
          </w:p>
        </w:tc>
        <w:tc>
          <w:tcPr>
            <w:tcW w:w="1255" w:type="dxa"/>
            <w:vMerge w:val="restart"/>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auto"/>
                <w:sz w:val="22"/>
                <w:szCs w:val="22"/>
                <w:u w:val="none"/>
                <w:lang w:val="en-US" w:eastAsia="zh-CN"/>
              </w:rPr>
            </w:pPr>
            <w:r>
              <w:rPr>
                <w:rFonts w:hint="eastAsia" w:ascii="仿宋_GB2312" w:hAnsi="宋体" w:eastAsia="仿宋_GB2312" w:cs="仿宋_GB2312"/>
                <w:i w:val="0"/>
                <w:iCs w:val="0"/>
                <w:color w:val="auto"/>
                <w:sz w:val="22"/>
                <w:szCs w:val="22"/>
                <w:u w:val="none"/>
                <w:lang w:val="en-US" w:eastAsia="zh-CN"/>
              </w:rPr>
              <w:t>17.81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245" w:type="dxa"/>
            <w:vMerge w:val="continue"/>
            <w:shd w:val="clear" w:color="auto" w:fill="auto"/>
            <w:vAlign w:val="center"/>
          </w:tcPr>
          <w:p>
            <w:pPr>
              <w:jc w:val="center"/>
              <w:rPr>
                <w:rFonts w:hint="eastAsia" w:ascii="仿宋_GB2312" w:hAnsi="宋体" w:eastAsia="仿宋_GB2312" w:cs="仿宋_GB2312"/>
                <w:i w:val="0"/>
                <w:iCs w:val="0"/>
                <w:color w:val="auto"/>
                <w:sz w:val="22"/>
                <w:szCs w:val="22"/>
                <w:u w:val="none"/>
              </w:rPr>
            </w:pPr>
          </w:p>
        </w:tc>
        <w:tc>
          <w:tcPr>
            <w:tcW w:w="2318" w:type="dxa"/>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u w:val="none"/>
              </w:rPr>
            </w:pPr>
            <w:r>
              <w:rPr>
                <w:rFonts w:hint="eastAsia" w:ascii="仿宋_GB2312" w:hAnsi="宋体" w:eastAsia="仿宋_GB2312" w:cs="仿宋_GB2312"/>
                <w:i w:val="0"/>
                <w:iCs w:val="0"/>
                <w:color w:val="auto"/>
                <w:kern w:val="0"/>
                <w:sz w:val="22"/>
                <w:szCs w:val="22"/>
                <w:u w:val="none"/>
                <w:lang w:val="en-US" w:eastAsia="zh-CN" w:bidi="ar"/>
              </w:rPr>
              <w:t>基本支出</w:t>
            </w:r>
          </w:p>
        </w:tc>
        <w:tc>
          <w:tcPr>
            <w:tcW w:w="3151" w:type="dxa"/>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u w:val="none"/>
              </w:rPr>
            </w:pPr>
            <w:r>
              <w:rPr>
                <w:rFonts w:hint="eastAsia" w:ascii="仿宋_GB2312" w:hAnsi="宋体" w:eastAsia="仿宋_GB2312" w:cs="仿宋_GB2312"/>
                <w:i w:val="0"/>
                <w:iCs w:val="0"/>
                <w:color w:val="auto"/>
                <w:kern w:val="0"/>
                <w:sz w:val="22"/>
                <w:szCs w:val="22"/>
                <w:u w:val="none"/>
                <w:lang w:val="en-US" w:eastAsia="zh-CN" w:bidi="ar"/>
              </w:rPr>
              <w:t>-</w:t>
            </w:r>
          </w:p>
        </w:tc>
        <w:tc>
          <w:tcPr>
            <w:tcW w:w="1288" w:type="dxa"/>
            <w:vMerge w:val="continue"/>
            <w:shd w:val="clear" w:color="auto" w:fill="auto"/>
            <w:vAlign w:val="center"/>
          </w:tcPr>
          <w:p>
            <w:pPr>
              <w:jc w:val="center"/>
              <w:rPr>
                <w:rFonts w:hint="eastAsia" w:ascii="仿宋_GB2312" w:hAnsi="宋体" w:eastAsia="仿宋_GB2312" w:cs="仿宋_GB2312"/>
                <w:i w:val="0"/>
                <w:iCs w:val="0"/>
                <w:color w:val="auto"/>
                <w:sz w:val="22"/>
                <w:szCs w:val="22"/>
                <w:u w:val="none"/>
              </w:rPr>
            </w:pPr>
          </w:p>
        </w:tc>
        <w:tc>
          <w:tcPr>
            <w:tcW w:w="1255" w:type="dxa"/>
            <w:vMerge w:val="continue"/>
            <w:shd w:val="clear" w:color="auto" w:fill="auto"/>
            <w:vAlign w:val="center"/>
          </w:tcPr>
          <w:p>
            <w:pPr>
              <w:jc w:val="center"/>
              <w:rPr>
                <w:rFonts w:hint="eastAsia" w:ascii="仿宋_GB2312" w:hAnsi="宋体" w:eastAsia="仿宋_GB2312" w:cs="仿宋_GB2312"/>
                <w:i w:val="0"/>
                <w:iCs w:val="0"/>
                <w:color w:val="auto"/>
                <w:sz w:val="22"/>
                <w:szCs w:val="22"/>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245" w:type="dxa"/>
            <w:vMerge w:val="continue"/>
            <w:shd w:val="clear" w:color="auto" w:fill="auto"/>
            <w:vAlign w:val="center"/>
          </w:tcPr>
          <w:p>
            <w:pPr>
              <w:jc w:val="center"/>
              <w:rPr>
                <w:rFonts w:hint="eastAsia" w:ascii="仿宋_GB2312" w:hAnsi="宋体" w:eastAsia="仿宋_GB2312" w:cs="仿宋_GB2312"/>
                <w:i w:val="0"/>
                <w:iCs w:val="0"/>
                <w:color w:val="auto"/>
                <w:sz w:val="22"/>
                <w:szCs w:val="22"/>
                <w:u w:val="none"/>
              </w:rPr>
            </w:pPr>
          </w:p>
        </w:tc>
        <w:tc>
          <w:tcPr>
            <w:tcW w:w="2318" w:type="dxa"/>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u w:val="none"/>
              </w:rPr>
            </w:pPr>
            <w:r>
              <w:rPr>
                <w:rFonts w:hint="eastAsia" w:ascii="仿宋_GB2312" w:hAnsi="宋体" w:eastAsia="仿宋_GB2312" w:cs="仿宋_GB2312"/>
                <w:i w:val="0"/>
                <w:iCs w:val="0"/>
                <w:color w:val="auto"/>
                <w:kern w:val="0"/>
                <w:sz w:val="22"/>
                <w:szCs w:val="22"/>
                <w:u w:val="none"/>
                <w:lang w:val="en-US" w:eastAsia="zh-CN" w:bidi="ar"/>
              </w:rPr>
              <w:t>项目支出</w:t>
            </w:r>
          </w:p>
        </w:tc>
        <w:tc>
          <w:tcPr>
            <w:tcW w:w="3151" w:type="dxa"/>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u w:val="none"/>
              </w:rPr>
            </w:pPr>
            <w:r>
              <w:rPr>
                <w:rFonts w:hint="eastAsia" w:ascii="仿宋_GB2312" w:hAnsi="宋体" w:eastAsia="仿宋_GB2312" w:cs="仿宋_GB2312"/>
                <w:i w:val="0"/>
                <w:iCs w:val="0"/>
                <w:color w:val="auto"/>
                <w:kern w:val="0"/>
                <w:sz w:val="22"/>
                <w:szCs w:val="22"/>
                <w:u w:val="none"/>
                <w:lang w:val="en-US" w:eastAsia="zh-CN" w:bidi="ar"/>
              </w:rPr>
              <w:t>-</w:t>
            </w:r>
          </w:p>
        </w:tc>
        <w:tc>
          <w:tcPr>
            <w:tcW w:w="1288" w:type="dxa"/>
            <w:vMerge w:val="continue"/>
            <w:shd w:val="clear" w:color="auto" w:fill="auto"/>
            <w:vAlign w:val="center"/>
          </w:tcPr>
          <w:p>
            <w:pPr>
              <w:jc w:val="center"/>
              <w:rPr>
                <w:rFonts w:hint="eastAsia" w:ascii="仿宋_GB2312" w:hAnsi="宋体" w:eastAsia="仿宋_GB2312" w:cs="仿宋_GB2312"/>
                <w:i w:val="0"/>
                <w:iCs w:val="0"/>
                <w:color w:val="auto"/>
                <w:sz w:val="22"/>
                <w:szCs w:val="22"/>
                <w:u w:val="none"/>
              </w:rPr>
            </w:pPr>
          </w:p>
        </w:tc>
        <w:tc>
          <w:tcPr>
            <w:tcW w:w="1255" w:type="dxa"/>
            <w:vMerge w:val="continue"/>
            <w:shd w:val="clear" w:color="auto" w:fill="auto"/>
            <w:vAlign w:val="center"/>
          </w:tcPr>
          <w:p>
            <w:pPr>
              <w:jc w:val="center"/>
              <w:rPr>
                <w:rFonts w:hint="eastAsia" w:ascii="仿宋_GB2312" w:hAnsi="宋体" w:eastAsia="仿宋_GB2312" w:cs="仿宋_GB2312"/>
                <w:i w:val="0"/>
                <w:iCs w:val="0"/>
                <w:color w:val="auto"/>
                <w:sz w:val="22"/>
                <w:szCs w:val="22"/>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245" w:type="dxa"/>
            <w:vMerge w:val="continue"/>
            <w:shd w:val="clear" w:color="auto" w:fill="auto"/>
            <w:vAlign w:val="center"/>
          </w:tcPr>
          <w:p>
            <w:pPr>
              <w:jc w:val="center"/>
              <w:rPr>
                <w:rFonts w:hint="eastAsia" w:ascii="仿宋_GB2312" w:hAnsi="宋体" w:eastAsia="仿宋_GB2312" w:cs="仿宋_GB2312"/>
                <w:i w:val="0"/>
                <w:iCs w:val="0"/>
                <w:color w:val="auto"/>
                <w:sz w:val="22"/>
                <w:szCs w:val="22"/>
                <w:u w:val="none"/>
              </w:rPr>
            </w:pPr>
          </w:p>
        </w:tc>
        <w:tc>
          <w:tcPr>
            <w:tcW w:w="2318" w:type="dxa"/>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u w:val="none"/>
              </w:rPr>
            </w:pPr>
            <w:r>
              <w:rPr>
                <w:rFonts w:hint="eastAsia" w:ascii="仿宋_GB2312" w:hAnsi="宋体" w:eastAsia="仿宋_GB2312" w:cs="仿宋_GB2312"/>
                <w:i w:val="0"/>
                <w:iCs w:val="0"/>
                <w:color w:val="auto"/>
                <w:kern w:val="0"/>
                <w:sz w:val="22"/>
                <w:szCs w:val="22"/>
                <w:u w:val="none"/>
                <w:lang w:val="en-US" w:eastAsia="zh-CN" w:bidi="ar"/>
              </w:rPr>
              <w:t>其他</w:t>
            </w:r>
          </w:p>
        </w:tc>
        <w:tc>
          <w:tcPr>
            <w:tcW w:w="3151" w:type="dxa"/>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u w:val="none"/>
              </w:rPr>
            </w:pPr>
            <w:r>
              <w:rPr>
                <w:rFonts w:hint="eastAsia" w:ascii="仿宋_GB2312" w:hAnsi="宋体" w:eastAsia="仿宋_GB2312" w:cs="仿宋_GB2312"/>
                <w:i w:val="0"/>
                <w:iCs w:val="0"/>
                <w:color w:val="auto"/>
                <w:kern w:val="0"/>
                <w:sz w:val="22"/>
                <w:szCs w:val="22"/>
                <w:u w:val="none"/>
                <w:lang w:val="en-US" w:eastAsia="zh-CN" w:bidi="ar"/>
              </w:rPr>
              <w:t>-</w:t>
            </w:r>
          </w:p>
        </w:tc>
        <w:tc>
          <w:tcPr>
            <w:tcW w:w="1288" w:type="dxa"/>
            <w:vMerge w:val="continue"/>
            <w:shd w:val="clear" w:color="auto" w:fill="auto"/>
            <w:vAlign w:val="center"/>
          </w:tcPr>
          <w:p>
            <w:pPr>
              <w:jc w:val="center"/>
              <w:rPr>
                <w:rFonts w:hint="eastAsia" w:ascii="仿宋_GB2312" w:hAnsi="宋体" w:eastAsia="仿宋_GB2312" w:cs="仿宋_GB2312"/>
                <w:i w:val="0"/>
                <w:iCs w:val="0"/>
                <w:color w:val="auto"/>
                <w:sz w:val="22"/>
                <w:szCs w:val="22"/>
                <w:u w:val="none"/>
              </w:rPr>
            </w:pPr>
          </w:p>
        </w:tc>
        <w:tc>
          <w:tcPr>
            <w:tcW w:w="1255" w:type="dxa"/>
            <w:vMerge w:val="continue"/>
            <w:shd w:val="clear" w:color="auto" w:fill="auto"/>
            <w:vAlign w:val="center"/>
          </w:tcPr>
          <w:p>
            <w:pPr>
              <w:jc w:val="center"/>
              <w:rPr>
                <w:rFonts w:hint="eastAsia" w:ascii="仿宋_GB2312" w:hAnsi="宋体" w:eastAsia="仿宋_GB2312" w:cs="仿宋_GB2312"/>
                <w:i w:val="0"/>
                <w:iCs w:val="0"/>
                <w:color w:val="auto"/>
                <w:sz w:val="22"/>
                <w:szCs w:val="22"/>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245" w:type="dxa"/>
            <w:vMerge w:val="restart"/>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u w:val="none"/>
              </w:rPr>
            </w:pPr>
            <w:r>
              <w:rPr>
                <w:rFonts w:hint="eastAsia" w:ascii="仿宋_GB2312" w:hAnsi="宋体" w:eastAsia="仿宋_GB2312" w:cs="仿宋_GB2312"/>
                <w:i w:val="0"/>
                <w:iCs w:val="0"/>
                <w:color w:val="auto"/>
                <w:kern w:val="0"/>
                <w:sz w:val="22"/>
                <w:szCs w:val="22"/>
                <w:u w:val="none"/>
                <w:lang w:val="en-US" w:eastAsia="zh-CN" w:bidi="ar"/>
              </w:rPr>
              <w:t>整体绩效目标实现情况（60）</w:t>
            </w:r>
          </w:p>
        </w:tc>
        <w:tc>
          <w:tcPr>
            <w:tcW w:w="2318" w:type="dxa"/>
            <w:vMerge w:val="restart"/>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auto"/>
                <w:kern w:val="0"/>
                <w:sz w:val="22"/>
                <w:szCs w:val="22"/>
                <w:u w:val="none"/>
                <w:lang w:val="en-US" w:eastAsia="zh-CN" w:bidi="ar"/>
              </w:rPr>
            </w:pPr>
            <w:r>
              <w:rPr>
                <w:rFonts w:hint="eastAsia" w:ascii="仿宋_GB2312" w:hAnsi="宋体" w:eastAsia="仿宋_GB2312" w:cs="仿宋_GB2312"/>
                <w:i w:val="0"/>
                <w:iCs w:val="0"/>
                <w:color w:val="auto"/>
                <w:kern w:val="0"/>
                <w:sz w:val="22"/>
                <w:szCs w:val="22"/>
                <w:u w:val="none"/>
                <w:lang w:val="en-US" w:eastAsia="zh-CN" w:bidi="ar"/>
              </w:rPr>
              <w:t>产出（30）</w:t>
            </w:r>
          </w:p>
        </w:tc>
        <w:tc>
          <w:tcPr>
            <w:tcW w:w="3151" w:type="dxa"/>
            <w:shd w:val="clear" w:color="auto" w:fill="auto"/>
            <w:vAlign w:val="center"/>
          </w:tcPr>
          <w:p>
            <w:pPr>
              <w:keepNext w:val="0"/>
              <w:keepLines w:val="0"/>
              <w:widowControl/>
              <w:suppressLineNumbers w:val="0"/>
              <w:jc w:val="left"/>
              <w:textAlignment w:val="center"/>
              <w:rPr>
                <w:rFonts w:hint="default" w:ascii="仿宋_GB2312" w:hAnsi="宋体" w:eastAsia="仿宋_GB2312" w:cs="仿宋_GB2312"/>
                <w:i w:val="0"/>
                <w:iCs w:val="0"/>
                <w:color w:val="auto"/>
                <w:kern w:val="0"/>
                <w:sz w:val="22"/>
                <w:szCs w:val="22"/>
                <w:u w:val="none"/>
                <w:lang w:val="en-US" w:eastAsia="zh-CN" w:bidi="ar"/>
              </w:rPr>
            </w:pPr>
            <w:r>
              <w:rPr>
                <w:rFonts w:hint="eastAsia" w:ascii="仿宋_GB2312" w:hAnsi="宋体" w:eastAsia="仿宋_GB2312" w:cs="仿宋_GB2312"/>
                <w:i w:val="0"/>
                <w:iCs w:val="0"/>
                <w:color w:val="auto"/>
                <w:kern w:val="0"/>
                <w:sz w:val="22"/>
                <w:szCs w:val="22"/>
                <w:u w:val="none"/>
                <w:lang w:val="en-US" w:eastAsia="zh-CN" w:bidi="ar"/>
              </w:rPr>
              <w:t>数量指标</w:t>
            </w:r>
          </w:p>
        </w:tc>
        <w:tc>
          <w:tcPr>
            <w:tcW w:w="1288" w:type="dxa"/>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auto"/>
                <w:sz w:val="22"/>
                <w:szCs w:val="22"/>
                <w:highlight w:val="none"/>
                <w:u w:val="none"/>
                <w:lang w:val="en-US" w:eastAsia="zh-CN"/>
              </w:rPr>
            </w:pPr>
            <w:r>
              <w:rPr>
                <w:rFonts w:hint="eastAsia" w:ascii="仿宋_GB2312" w:hAnsi="宋体" w:eastAsia="仿宋_GB2312" w:cs="仿宋_GB2312"/>
                <w:i w:val="0"/>
                <w:iCs w:val="0"/>
                <w:color w:val="auto"/>
                <w:sz w:val="22"/>
                <w:szCs w:val="22"/>
                <w:highlight w:val="none"/>
                <w:u w:val="none"/>
                <w:lang w:val="en-US" w:eastAsia="zh-CN"/>
              </w:rPr>
              <w:t>10.00</w:t>
            </w:r>
          </w:p>
        </w:tc>
        <w:tc>
          <w:tcPr>
            <w:tcW w:w="1255" w:type="dxa"/>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auto"/>
                <w:sz w:val="22"/>
                <w:szCs w:val="22"/>
                <w:highlight w:val="none"/>
                <w:u w:val="none"/>
                <w:lang w:val="en-US" w:eastAsia="zh-CN"/>
              </w:rPr>
            </w:pPr>
            <w:r>
              <w:rPr>
                <w:rFonts w:hint="eastAsia" w:ascii="仿宋_GB2312" w:hAnsi="宋体" w:eastAsia="仿宋_GB2312" w:cs="仿宋_GB2312"/>
                <w:i w:val="0"/>
                <w:iCs w:val="0"/>
                <w:color w:val="auto"/>
                <w:sz w:val="22"/>
                <w:szCs w:val="22"/>
                <w:highlight w:val="none"/>
                <w:u w:val="none"/>
                <w:lang w:val="en-US" w:eastAsia="zh-CN"/>
              </w:rPr>
              <w:t>9.50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245" w:type="dxa"/>
            <w:vMerge w:val="continue"/>
            <w:shd w:val="clear" w:color="auto" w:fill="auto"/>
            <w:vAlign w:val="center"/>
          </w:tcPr>
          <w:p>
            <w:pPr>
              <w:jc w:val="center"/>
              <w:rPr>
                <w:rFonts w:hint="eastAsia" w:ascii="仿宋_GB2312" w:hAnsi="宋体" w:eastAsia="仿宋_GB2312" w:cs="仿宋_GB2312"/>
                <w:i w:val="0"/>
                <w:iCs w:val="0"/>
                <w:color w:val="auto"/>
                <w:sz w:val="22"/>
                <w:szCs w:val="22"/>
                <w:u w:val="none"/>
              </w:rPr>
            </w:pPr>
          </w:p>
        </w:tc>
        <w:tc>
          <w:tcPr>
            <w:tcW w:w="2318" w:type="dxa"/>
            <w:vMerge w:val="continue"/>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auto"/>
                <w:kern w:val="0"/>
                <w:sz w:val="22"/>
                <w:szCs w:val="22"/>
                <w:u w:val="none"/>
                <w:lang w:val="en-US" w:eastAsia="zh-CN" w:bidi="ar"/>
              </w:rPr>
            </w:pPr>
          </w:p>
        </w:tc>
        <w:tc>
          <w:tcPr>
            <w:tcW w:w="3151" w:type="dxa"/>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kern w:val="0"/>
                <w:sz w:val="22"/>
                <w:szCs w:val="22"/>
                <w:u w:val="none"/>
                <w:lang w:val="en-US" w:eastAsia="zh-CN" w:bidi="ar"/>
              </w:rPr>
            </w:pPr>
            <w:r>
              <w:rPr>
                <w:rFonts w:hint="eastAsia" w:ascii="仿宋_GB2312" w:hAnsi="宋体" w:eastAsia="仿宋_GB2312" w:cs="仿宋_GB2312"/>
                <w:i w:val="0"/>
                <w:iCs w:val="0"/>
                <w:color w:val="auto"/>
                <w:kern w:val="0"/>
                <w:sz w:val="22"/>
                <w:szCs w:val="22"/>
                <w:u w:val="none"/>
                <w:lang w:val="en-US" w:eastAsia="zh-CN" w:bidi="ar"/>
              </w:rPr>
              <w:t>质量指标</w:t>
            </w:r>
          </w:p>
        </w:tc>
        <w:tc>
          <w:tcPr>
            <w:tcW w:w="1288" w:type="dxa"/>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auto"/>
                <w:sz w:val="22"/>
                <w:szCs w:val="22"/>
                <w:highlight w:val="none"/>
                <w:u w:val="none"/>
                <w:lang w:val="en-US" w:eastAsia="zh-CN"/>
              </w:rPr>
            </w:pPr>
            <w:r>
              <w:rPr>
                <w:rFonts w:hint="eastAsia" w:ascii="仿宋_GB2312" w:hAnsi="宋体" w:eastAsia="仿宋_GB2312" w:cs="仿宋_GB2312"/>
                <w:i w:val="0"/>
                <w:iCs w:val="0"/>
                <w:color w:val="auto"/>
                <w:sz w:val="22"/>
                <w:szCs w:val="22"/>
                <w:highlight w:val="none"/>
                <w:u w:val="none"/>
                <w:lang w:val="en-US" w:eastAsia="zh-CN"/>
              </w:rPr>
              <w:t>10.00</w:t>
            </w:r>
          </w:p>
        </w:tc>
        <w:tc>
          <w:tcPr>
            <w:tcW w:w="1255" w:type="dxa"/>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auto"/>
                <w:sz w:val="22"/>
                <w:szCs w:val="22"/>
                <w:highlight w:val="none"/>
                <w:u w:val="none"/>
                <w:lang w:val="en-US" w:eastAsia="zh-CN"/>
              </w:rPr>
            </w:pPr>
            <w:r>
              <w:rPr>
                <w:rFonts w:hint="eastAsia" w:ascii="仿宋_GB2312" w:hAnsi="宋体" w:eastAsia="仿宋_GB2312" w:cs="仿宋_GB2312"/>
                <w:i w:val="0"/>
                <w:iCs w:val="0"/>
                <w:color w:val="auto"/>
                <w:sz w:val="22"/>
                <w:szCs w:val="22"/>
                <w:highlight w:val="none"/>
                <w:u w:val="none"/>
                <w:lang w:val="en-US" w:eastAsia="zh-CN"/>
              </w:rPr>
              <w:t>9.50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245" w:type="dxa"/>
            <w:vMerge w:val="continue"/>
            <w:shd w:val="clear" w:color="auto" w:fill="auto"/>
            <w:vAlign w:val="center"/>
          </w:tcPr>
          <w:p>
            <w:pPr>
              <w:jc w:val="center"/>
              <w:rPr>
                <w:rFonts w:hint="eastAsia" w:ascii="仿宋_GB2312" w:hAnsi="宋体" w:eastAsia="仿宋_GB2312" w:cs="仿宋_GB2312"/>
                <w:i w:val="0"/>
                <w:iCs w:val="0"/>
                <w:color w:val="auto"/>
                <w:sz w:val="22"/>
                <w:szCs w:val="22"/>
                <w:u w:val="none"/>
              </w:rPr>
            </w:pPr>
          </w:p>
        </w:tc>
        <w:tc>
          <w:tcPr>
            <w:tcW w:w="2318" w:type="dxa"/>
            <w:vMerge w:val="continue"/>
            <w:shd w:val="clear" w:color="auto" w:fill="auto"/>
            <w:vAlign w:val="center"/>
          </w:tcPr>
          <w:p>
            <w:pPr>
              <w:jc w:val="center"/>
              <w:rPr>
                <w:rFonts w:hint="eastAsia" w:ascii="仿宋_GB2312" w:hAnsi="宋体" w:eastAsia="仿宋_GB2312" w:cs="仿宋_GB2312"/>
                <w:i w:val="0"/>
                <w:iCs w:val="0"/>
                <w:color w:val="auto"/>
                <w:sz w:val="22"/>
                <w:szCs w:val="22"/>
                <w:u w:val="none"/>
              </w:rPr>
            </w:pPr>
          </w:p>
        </w:tc>
        <w:tc>
          <w:tcPr>
            <w:tcW w:w="3151" w:type="dxa"/>
            <w:shd w:val="clear" w:color="auto" w:fill="auto"/>
            <w:vAlign w:val="center"/>
          </w:tcPr>
          <w:p>
            <w:pPr>
              <w:keepNext w:val="0"/>
              <w:keepLines w:val="0"/>
              <w:widowControl/>
              <w:suppressLineNumbers w:val="0"/>
              <w:jc w:val="left"/>
              <w:textAlignment w:val="center"/>
              <w:rPr>
                <w:rFonts w:hint="default" w:ascii="仿宋_GB2312" w:hAnsi="宋体" w:eastAsia="仿宋_GB2312" w:cs="仿宋_GB2312"/>
                <w:i w:val="0"/>
                <w:iCs w:val="0"/>
                <w:color w:val="auto"/>
                <w:kern w:val="0"/>
                <w:sz w:val="22"/>
                <w:szCs w:val="22"/>
                <w:u w:val="none"/>
                <w:lang w:val="en-US" w:eastAsia="zh-CN" w:bidi="ar"/>
              </w:rPr>
            </w:pPr>
            <w:r>
              <w:rPr>
                <w:rFonts w:hint="eastAsia" w:ascii="仿宋_GB2312" w:hAnsi="宋体" w:eastAsia="仿宋_GB2312" w:cs="仿宋_GB2312"/>
                <w:i w:val="0"/>
                <w:iCs w:val="0"/>
                <w:color w:val="auto"/>
                <w:kern w:val="0"/>
                <w:sz w:val="22"/>
                <w:szCs w:val="22"/>
                <w:u w:val="none"/>
                <w:lang w:val="en-US" w:eastAsia="zh-CN" w:bidi="ar"/>
              </w:rPr>
              <w:t>进度指标</w:t>
            </w:r>
          </w:p>
        </w:tc>
        <w:tc>
          <w:tcPr>
            <w:tcW w:w="1288" w:type="dxa"/>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auto"/>
                <w:sz w:val="22"/>
                <w:szCs w:val="22"/>
                <w:highlight w:val="none"/>
                <w:u w:val="none"/>
                <w:lang w:val="en-US" w:eastAsia="zh-CN"/>
              </w:rPr>
            </w:pPr>
            <w:r>
              <w:rPr>
                <w:rFonts w:hint="eastAsia" w:ascii="仿宋_GB2312" w:hAnsi="宋体" w:eastAsia="仿宋_GB2312" w:cs="仿宋_GB2312"/>
                <w:i w:val="0"/>
                <w:iCs w:val="0"/>
                <w:color w:val="auto"/>
                <w:sz w:val="22"/>
                <w:szCs w:val="22"/>
                <w:highlight w:val="none"/>
                <w:u w:val="none"/>
                <w:lang w:val="en-US" w:eastAsia="zh-CN"/>
              </w:rPr>
              <w:t>5.00</w:t>
            </w:r>
          </w:p>
        </w:tc>
        <w:tc>
          <w:tcPr>
            <w:tcW w:w="1255" w:type="dxa"/>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auto"/>
                <w:sz w:val="22"/>
                <w:szCs w:val="22"/>
                <w:highlight w:val="none"/>
                <w:u w:val="none"/>
                <w:lang w:val="en-US" w:eastAsia="zh-CN"/>
              </w:rPr>
            </w:pPr>
            <w:r>
              <w:rPr>
                <w:rFonts w:hint="eastAsia" w:ascii="仿宋_GB2312" w:hAnsi="宋体" w:eastAsia="仿宋_GB2312" w:cs="仿宋_GB2312"/>
                <w:i w:val="0"/>
                <w:iCs w:val="0"/>
                <w:color w:val="auto"/>
                <w:sz w:val="22"/>
                <w:szCs w:val="22"/>
                <w:highlight w:val="none"/>
                <w:u w:val="none"/>
                <w:lang w:val="en-US" w:eastAsia="zh-CN"/>
              </w:rPr>
              <w:t>4.50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245" w:type="dxa"/>
            <w:vMerge w:val="continue"/>
            <w:shd w:val="clear" w:color="auto" w:fill="auto"/>
            <w:vAlign w:val="center"/>
          </w:tcPr>
          <w:p>
            <w:pPr>
              <w:jc w:val="center"/>
              <w:rPr>
                <w:rFonts w:hint="eastAsia" w:ascii="仿宋_GB2312" w:hAnsi="宋体" w:eastAsia="仿宋_GB2312" w:cs="仿宋_GB2312"/>
                <w:i w:val="0"/>
                <w:iCs w:val="0"/>
                <w:color w:val="auto"/>
                <w:sz w:val="22"/>
                <w:szCs w:val="22"/>
                <w:u w:val="none"/>
              </w:rPr>
            </w:pPr>
          </w:p>
        </w:tc>
        <w:tc>
          <w:tcPr>
            <w:tcW w:w="2318" w:type="dxa"/>
            <w:vMerge w:val="continue"/>
            <w:shd w:val="clear" w:color="auto" w:fill="auto"/>
            <w:vAlign w:val="center"/>
          </w:tcPr>
          <w:p>
            <w:pPr>
              <w:jc w:val="center"/>
              <w:rPr>
                <w:rFonts w:hint="eastAsia" w:ascii="仿宋_GB2312" w:hAnsi="宋体" w:eastAsia="仿宋_GB2312" w:cs="仿宋_GB2312"/>
                <w:i w:val="0"/>
                <w:iCs w:val="0"/>
                <w:color w:val="auto"/>
                <w:sz w:val="22"/>
                <w:szCs w:val="22"/>
                <w:u w:val="none"/>
              </w:rPr>
            </w:pPr>
          </w:p>
        </w:tc>
        <w:tc>
          <w:tcPr>
            <w:tcW w:w="3151" w:type="dxa"/>
            <w:shd w:val="clear" w:color="auto" w:fill="auto"/>
            <w:vAlign w:val="center"/>
          </w:tcPr>
          <w:p>
            <w:pPr>
              <w:keepNext w:val="0"/>
              <w:keepLines w:val="0"/>
              <w:widowControl/>
              <w:suppressLineNumbers w:val="0"/>
              <w:jc w:val="left"/>
              <w:textAlignment w:val="center"/>
              <w:rPr>
                <w:rFonts w:hint="default" w:ascii="仿宋_GB2312" w:hAnsi="宋体" w:eastAsia="仿宋_GB2312" w:cs="仿宋_GB2312"/>
                <w:i w:val="0"/>
                <w:iCs w:val="0"/>
                <w:color w:val="auto"/>
                <w:kern w:val="0"/>
                <w:sz w:val="22"/>
                <w:szCs w:val="22"/>
                <w:u w:val="none"/>
                <w:lang w:val="en-US" w:eastAsia="zh-CN" w:bidi="ar"/>
              </w:rPr>
            </w:pPr>
            <w:r>
              <w:rPr>
                <w:rFonts w:hint="eastAsia" w:ascii="仿宋_GB2312" w:hAnsi="宋体" w:eastAsia="仿宋_GB2312" w:cs="仿宋_GB2312"/>
                <w:i w:val="0"/>
                <w:iCs w:val="0"/>
                <w:color w:val="auto"/>
                <w:kern w:val="0"/>
                <w:sz w:val="22"/>
                <w:szCs w:val="22"/>
                <w:u w:val="none"/>
                <w:lang w:val="en-US" w:eastAsia="zh-CN" w:bidi="ar"/>
              </w:rPr>
              <w:t>成本指标</w:t>
            </w:r>
          </w:p>
        </w:tc>
        <w:tc>
          <w:tcPr>
            <w:tcW w:w="1288" w:type="dxa"/>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auto"/>
                <w:sz w:val="22"/>
                <w:szCs w:val="22"/>
                <w:highlight w:val="none"/>
                <w:u w:val="none"/>
                <w:lang w:val="en-US" w:eastAsia="zh-CN"/>
              </w:rPr>
            </w:pPr>
            <w:r>
              <w:rPr>
                <w:rFonts w:hint="eastAsia" w:ascii="仿宋_GB2312" w:hAnsi="宋体" w:eastAsia="仿宋_GB2312" w:cs="仿宋_GB2312"/>
                <w:i w:val="0"/>
                <w:iCs w:val="0"/>
                <w:color w:val="auto"/>
                <w:sz w:val="22"/>
                <w:szCs w:val="22"/>
                <w:highlight w:val="none"/>
                <w:u w:val="none"/>
                <w:lang w:val="en-US" w:eastAsia="zh-CN"/>
              </w:rPr>
              <w:t>5.00</w:t>
            </w:r>
          </w:p>
        </w:tc>
        <w:tc>
          <w:tcPr>
            <w:tcW w:w="1255" w:type="dxa"/>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auto"/>
                <w:sz w:val="22"/>
                <w:szCs w:val="22"/>
                <w:highlight w:val="none"/>
                <w:u w:val="none"/>
                <w:lang w:val="en-US" w:eastAsia="zh-CN"/>
              </w:rPr>
            </w:pPr>
            <w:r>
              <w:rPr>
                <w:rFonts w:hint="eastAsia" w:ascii="仿宋_GB2312" w:hAnsi="宋体" w:eastAsia="仿宋_GB2312" w:cs="仿宋_GB2312"/>
                <w:color w:val="auto"/>
                <w:sz w:val="22"/>
                <w:szCs w:val="22"/>
                <w:highlight w:val="none"/>
                <w:u w:val="none"/>
                <w:lang w:val="en-US" w:eastAsia="zh-CN"/>
              </w:rPr>
              <w:t>5</w:t>
            </w:r>
            <w:r>
              <w:rPr>
                <w:rFonts w:hint="eastAsia" w:ascii="仿宋_GB2312" w:hAnsi="宋体" w:eastAsia="仿宋_GB2312" w:cs="仿宋_GB2312"/>
                <w:color w:val="auto"/>
                <w:sz w:val="22"/>
                <w:szCs w:val="22"/>
                <w:highlight w:val="none"/>
                <w:u w:val="none"/>
              </w:rPr>
              <w:t>.</w:t>
            </w:r>
            <w:r>
              <w:rPr>
                <w:rFonts w:hint="eastAsia" w:ascii="仿宋_GB2312" w:hAnsi="宋体" w:eastAsia="仿宋_GB2312" w:cs="仿宋_GB2312"/>
                <w:color w:val="auto"/>
                <w:sz w:val="22"/>
                <w:szCs w:val="22"/>
                <w:highlight w:val="none"/>
                <w:u w:val="none"/>
                <w:lang w:val="en-US" w:eastAsia="zh-CN"/>
              </w:rPr>
              <w:t>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245" w:type="dxa"/>
            <w:vMerge w:val="continue"/>
            <w:shd w:val="clear" w:color="auto" w:fill="auto"/>
            <w:vAlign w:val="center"/>
          </w:tcPr>
          <w:p>
            <w:pPr>
              <w:jc w:val="center"/>
              <w:rPr>
                <w:rFonts w:hint="eastAsia" w:ascii="仿宋_GB2312" w:hAnsi="宋体" w:eastAsia="仿宋_GB2312" w:cs="仿宋_GB2312"/>
                <w:i w:val="0"/>
                <w:iCs w:val="0"/>
                <w:color w:val="auto"/>
                <w:sz w:val="22"/>
                <w:szCs w:val="22"/>
                <w:u w:val="none"/>
              </w:rPr>
            </w:pPr>
          </w:p>
        </w:tc>
        <w:tc>
          <w:tcPr>
            <w:tcW w:w="2318" w:type="dxa"/>
            <w:vMerge w:val="restart"/>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u w:val="none"/>
              </w:rPr>
            </w:pPr>
            <w:r>
              <w:rPr>
                <w:rFonts w:hint="eastAsia" w:ascii="仿宋_GB2312" w:hAnsi="宋体" w:eastAsia="仿宋_GB2312" w:cs="仿宋_GB2312"/>
                <w:i w:val="0"/>
                <w:iCs w:val="0"/>
                <w:color w:val="auto"/>
                <w:kern w:val="0"/>
                <w:sz w:val="22"/>
                <w:szCs w:val="22"/>
                <w:u w:val="none"/>
                <w:lang w:val="en-US" w:eastAsia="zh-CN" w:bidi="ar"/>
              </w:rPr>
              <w:t>效益（30）</w:t>
            </w:r>
          </w:p>
        </w:tc>
        <w:tc>
          <w:tcPr>
            <w:tcW w:w="3151" w:type="dxa"/>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kern w:val="0"/>
                <w:sz w:val="22"/>
                <w:szCs w:val="22"/>
                <w:u w:val="none"/>
                <w:lang w:val="en-US" w:eastAsia="zh-CN" w:bidi="ar"/>
              </w:rPr>
            </w:pPr>
            <w:r>
              <w:rPr>
                <w:rFonts w:hint="eastAsia" w:ascii="仿宋_GB2312" w:hAnsi="宋体" w:eastAsia="仿宋_GB2312" w:cs="仿宋_GB2312"/>
                <w:i w:val="0"/>
                <w:iCs w:val="0"/>
                <w:color w:val="auto"/>
                <w:kern w:val="0"/>
                <w:sz w:val="22"/>
                <w:szCs w:val="22"/>
                <w:u w:val="none"/>
                <w:lang w:val="en-US" w:eastAsia="zh-CN" w:bidi="ar"/>
              </w:rPr>
              <w:t>社会效益</w:t>
            </w:r>
          </w:p>
        </w:tc>
        <w:tc>
          <w:tcPr>
            <w:tcW w:w="1288" w:type="dxa"/>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auto"/>
                <w:sz w:val="22"/>
                <w:szCs w:val="22"/>
                <w:highlight w:val="none"/>
                <w:u w:val="none"/>
                <w:lang w:val="en-US" w:eastAsia="zh-CN"/>
              </w:rPr>
            </w:pPr>
            <w:r>
              <w:rPr>
                <w:rFonts w:hint="eastAsia" w:ascii="仿宋_GB2312" w:hAnsi="宋体" w:eastAsia="仿宋_GB2312" w:cs="仿宋_GB2312"/>
                <w:i w:val="0"/>
                <w:iCs w:val="0"/>
                <w:color w:val="auto"/>
                <w:sz w:val="22"/>
                <w:szCs w:val="22"/>
                <w:highlight w:val="none"/>
                <w:u w:val="none"/>
                <w:lang w:val="en-US" w:eastAsia="zh-CN"/>
              </w:rPr>
              <w:t>7.00</w:t>
            </w:r>
          </w:p>
        </w:tc>
        <w:tc>
          <w:tcPr>
            <w:tcW w:w="1255" w:type="dxa"/>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auto"/>
                <w:sz w:val="22"/>
                <w:szCs w:val="22"/>
                <w:highlight w:val="none"/>
                <w:u w:val="none"/>
                <w:lang w:val="en-US" w:eastAsia="zh-CN"/>
              </w:rPr>
            </w:pPr>
            <w:r>
              <w:rPr>
                <w:rFonts w:hint="eastAsia" w:ascii="仿宋_GB2312" w:hAnsi="宋体" w:eastAsia="仿宋_GB2312" w:cs="仿宋_GB2312"/>
                <w:i w:val="0"/>
                <w:iCs w:val="0"/>
                <w:color w:val="auto"/>
                <w:sz w:val="22"/>
                <w:szCs w:val="22"/>
                <w:highlight w:val="none"/>
                <w:u w:val="none"/>
                <w:lang w:val="en-US" w:eastAsia="zh-CN"/>
              </w:rPr>
              <w:t>6.50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245" w:type="dxa"/>
            <w:vMerge w:val="continue"/>
            <w:shd w:val="clear" w:color="auto" w:fill="auto"/>
            <w:vAlign w:val="center"/>
          </w:tcPr>
          <w:p>
            <w:pPr>
              <w:jc w:val="center"/>
              <w:rPr>
                <w:rFonts w:hint="eastAsia" w:ascii="仿宋_GB2312" w:hAnsi="宋体" w:eastAsia="仿宋_GB2312" w:cs="仿宋_GB2312"/>
                <w:i w:val="0"/>
                <w:iCs w:val="0"/>
                <w:color w:val="auto"/>
                <w:sz w:val="22"/>
                <w:szCs w:val="22"/>
                <w:u w:val="none"/>
              </w:rPr>
            </w:pPr>
          </w:p>
        </w:tc>
        <w:tc>
          <w:tcPr>
            <w:tcW w:w="2318" w:type="dxa"/>
            <w:vMerge w:val="continue"/>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auto"/>
                <w:kern w:val="0"/>
                <w:sz w:val="22"/>
                <w:szCs w:val="22"/>
                <w:u w:val="none"/>
                <w:lang w:val="en-US" w:eastAsia="zh-CN" w:bidi="ar"/>
              </w:rPr>
            </w:pPr>
          </w:p>
        </w:tc>
        <w:tc>
          <w:tcPr>
            <w:tcW w:w="3151" w:type="dxa"/>
            <w:shd w:val="clear" w:color="auto" w:fill="auto"/>
            <w:vAlign w:val="center"/>
          </w:tcPr>
          <w:p>
            <w:pPr>
              <w:keepNext w:val="0"/>
              <w:keepLines w:val="0"/>
              <w:widowControl/>
              <w:suppressLineNumbers w:val="0"/>
              <w:jc w:val="left"/>
              <w:textAlignment w:val="center"/>
              <w:rPr>
                <w:rFonts w:hint="default" w:ascii="仿宋_GB2312" w:hAnsi="宋体" w:eastAsia="仿宋_GB2312" w:cs="仿宋_GB2312"/>
                <w:i w:val="0"/>
                <w:iCs w:val="0"/>
                <w:color w:val="auto"/>
                <w:kern w:val="0"/>
                <w:sz w:val="22"/>
                <w:szCs w:val="22"/>
                <w:u w:val="none"/>
                <w:lang w:val="en-US" w:eastAsia="zh-CN" w:bidi="ar"/>
              </w:rPr>
            </w:pPr>
            <w:r>
              <w:rPr>
                <w:rFonts w:hint="eastAsia" w:ascii="仿宋_GB2312" w:hAnsi="宋体" w:eastAsia="仿宋_GB2312" w:cs="仿宋_GB2312"/>
                <w:i w:val="0"/>
                <w:iCs w:val="0"/>
                <w:color w:val="auto"/>
                <w:kern w:val="0"/>
                <w:sz w:val="22"/>
                <w:szCs w:val="22"/>
                <w:u w:val="none"/>
                <w:lang w:val="en-US" w:eastAsia="zh-CN" w:bidi="ar"/>
              </w:rPr>
              <w:t>经济效益</w:t>
            </w:r>
          </w:p>
        </w:tc>
        <w:tc>
          <w:tcPr>
            <w:tcW w:w="1288" w:type="dxa"/>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auto"/>
                <w:sz w:val="22"/>
                <w:szCs w:val="22"/>
                <w:highlight w:val="none"/>
                <w:u w:val="none"/>
                <w:lang w:val="en-US" w:eastAsia="zh-CN"/>
              </w:rPr>
            </w:pPr>
            <w:r>
              <w:rPr>
                <w:rFonts w:hint="eastAsia" w:ascii="仿宋_GB2312" w:hAnsi="宋体" w:eastAsia="仿宋_GB2312" w:cs="仿宋_GB2312"/>
                <w:i w:val="0"/>
                <w:iCs w:val="0"/>
                <w:color w:val="auto"/>
                <w:sz w:val="22"/>
                <w:szCs w:val="22"/>
                <w:highlight w:val="none"/>
                <w:u w:val="none"/>
                <w:lang w:val="en-US" w:eastAsia="zh-CN"/>
              </w:rPr>
              <w:t>7.00</w:t>
            </w:r>
          </w:p>
        </w:tc>
        <w:tc>
          <w:tcPr>
            <w:tcW w:w="1255" w:type="dxa"/>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auto"/>
                <w:sz w:val="22"/>
                <w:szCs w:val="22"/>
                <w:highlight w:val="none"/>
                <w:u w:val="none"/>
                <w:lang w:val="en-US" w:eastAsia="zh-CN"/>
              </w:rPr>
            </w:pPr>
            <w:r>
              <w:rPr>
                <w:rFonts w:hint="eastAsia" w:ascii="仿宋_GB2312" w:hAnsi="宋体" w:eastAsia="仿宋_GB2312" w:cs="仿宋_GB2312"/>
                <w:i w:val="0"/>
                <w:iCs w:val="0"/>
                <w:color w:val="auto"/>
                <w:sz w:val="22"/>
                <w:szCs w:val="22"/>
                <w:highlight w:val="none"/>
                <w:u w:val="none"/>
                <w:lang w:val="en-US" w:eastAsia="zh-CN"/>
              </w:rPr>
              <w:t>6.50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245" w:type="dxa"/>
            <w:vMerge w:val="continue"/>
            <w:shd w:val="clear" w:color="auto" w:fill="auto"/>
            <w:vAlign w:val="center"/>
          </w:tcPr>
          <w:p>
            <w:pPr>
              <w:jc w:val="center"/>
              <w:rPr>
                <w:rFonts w:hint="eastAsia" w:ascii="仿宋_GB2312" w:hAnsi="宋体" w:eastAsia="仿宋_GB2312" w:cs="仿宋_GB2312"/>
                <w:i w:val="0"/>
                <w:iCs w:val="0"/>
                <w:color w:val="auto"/>
                <w:sz w:val="22"/>
                <w:szCs w:val="22"/>
                <w:u w:val="none"/>
              </w:rPr>
            </w:pPr>
          </w:p>
        </w:tc>
        <w:tc>
          <w:tcPr>
            <w:tcW w:w="2318" w:type="dxa"/>
            <w:vMerge w:val="continue"/>
            <w:shd w:val="clear" w:color="auto" w:fill="auto"/>
            <w:vAlign w:val="center"/>
          </w:tcPr>
          <w:p>
            <w:pPr>
              <w:jc w:val="center"/>
              <w:rPr>
                <w:rFonts w:hint="eastAsia" w:ascii="仿宋_GB2312" w:hAnsi="宋体" w:eastAsia="仿宋_GB2312" w:cs="仿宋_GB2312"/>
                <w:i w:val="0"/>
                <w:iCs w:val="0"/>
                <w:color w:val="auto"/>
                <w:sz w:val="22"/>
                <w:szCs w:val="22"/>
                <w:u w:val="none"/>
              </w:rPr>
            </w:pPr>
          </w:p>
        </w:tc>
        <w:tc>
          <w:tcPr>
            <w:tcW w:w="3151" w:type="dxa"/>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kern w:val="0"/>
                <w:sz w:val="22"/>
                <w:szCs w:val="22"/>
                <w:u w:val="none"/>
                <w:lang w:val="en-US" w:eastAsia="zh-CN" w:bidi="ar"/>
              </w:rPr>
            </w:pPr>
            <w:r>
              <w:rPr>
                <w:rFonts w:hint="eastAsia" w:ascii="仿宋_GB2312" w:hAnsi="宋体" w:eastAsia="仿宋_GB2312" w:cs="仿宋_GB2312"/>
                <w:i w:val="0"/>
                <w:iCs w:val="0"/>
                <w:color w:val="auto"/>
                <w:kern w:val="0"/>
                <w:sz w:val="22"/>
                <w:szCs w:val="22"/>
                <w:u w:val="none"/>
                <w:lang w:val="en-US" w:eastAsia="zh-CN" w:bidi="ar"/>
              </w:rPr>
              <w:t>可持续影响指标</w:t>
            </w:r>
          </w:p>
        </w:tc>
        <w:tc>
          <w:tcPr>
            <w:tcW w:w="1288" w:type="dxa"/>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auto"/>
                <w:kern w:val="0"/>
                <w:sz w:val="22"/>
                <w:szCs w:val="22"/>
                <w:highlight w:val="none"/>
                <w:u w:val="none"/>
                <w:lang w:val="en-US" w:eastAsia="zh-CN" w:bidi="ar"/>
              </w:rPr>
            </w:pPr>
            <w:r>
              <w:rPr>
                <w:rFonts w:hint="eastAsia" w:ascii="仿宋_GB2312" w:hAnsi="宋体" w:eastAsia="仿宋_GB2312" w:cs="仿宋_GB2312"/>
                <w:i w:val="0"/>
                <w:iCs w:val="0"/>
                <w:color w:val="auto"/>
                <w:kern w:val="0"/>
                <w:sz w:val="22"/>
                <w:szCs w:val="22"/>
                <w:highlight w:val="none"/>
                <w:u w:val="none"/>
                <w:lang w:val="en-US" w:eastAsia="zh-CN" w:bidi="ar"/>
              </w:rPr>
              <w:t>6.00</w:t>
            </w:r>
          </w:p>
        </w:tc>
        <w:tc>
          <w:tcPr>
            <w:tcW w:w="1255" w:type="dxa"/>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auto"/>
                <w:kern w:val="0"/>
                <w:sz w:val="22"/>
                <w:szCs w:val="22"/>
                <w:highlight w:val="none"/>
                <w:u w:val="none"/>
                <w:lang w:val="en-US" w:eastAsia="zh-CN" w:bidi="ar"/>
              </w:rPr>
            </w:pPr>
            <w:r>
              <w:rPr>
                <w:rFonts w:hint="eastAsia" w:ascii="仿宋_GB2312" w:hAnsi="宋体" w:eastAsia="仿宋_GB2312" w:cs="仿宋_GB2312"/>
                <w:i w:val="0"/>
                <w:iCs w:val="0"/>
                <w:color w:val="auto"/>
                <w:kern w:val="0"/>
                <w:sz w:val="22"/>
                <w:szCs w:val="22"/>
                <w:highlight w:val="none"/>
                <w:u w:val="none"/>
                <w:lang w:val="en-US" w:eastAsia="zh-CN" w:bidi="ar"/>
              </w:rPr>
              <w:t>5.50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245" w:type="dxa"/>
            <w:vMerge w:val="continue"/>
            <w:shd w:val="clear" w:color="auto" w:fill="auto"/>
            <w:vAlign w:val="center"/>
          </w:tcPr>
          <w:p>
            <w:pPr>
              <w:jc w:val="center"/>
              <w:rPr>
                <w:rFonts w:hint="eastAsia" w:ascii="仿宋_GB2312" w:hAnsi="宋体" w:eastAsia="仿宋_GB2312" w:cs="仿宋_GB2312"/>
                <w:i w:val="0"/>
                <w:iCs w:val="0"/>
                <w:color w:val="auto"/>
                <w:sz w:val="22"/>
                <w:szCs w:val="22"/>
                <w:u w:val="none"/>
              </w:rPr>
            </w:pPr>
          </w:p>
        </w:tc>
        <w:tc>
          <w:tcPr>
            <w:tcW w:w="2318" w:type="dxa"/>
            <w:vMerge w:val="continue"/>
            <w:shd w:val="clear" w:color="auto" w:fill="auto"/>
            <w:vAlign w:val="center"/>
          </w:tcPr>
          <w:p>
            <w:pPr>
              <w:jc w:val="center"/>
              <w:rPr>
                <w:rFonts w:hint="eastAsia" w:ascii="仿宋_GB2312" w:hAnsi="宋体" w:eastAsia="仿宋_GB2312" w:cs="仿宋_GB2312"/>
                <w:i w:val="0"/>
                <w:iCs w:val="0"/>
                <w:color w:val="auto"/>
                <w:sz w:val="22"/>
                <w:szCs w:val="22"/>
                <w:u w:val="none"/>
              </w:rPr>
            </w:pPr>
          </w:p>
        </w:tc>
        <w:tc>
          <w:tcPr>
            <w:tcW w:w="3151" w:type="dxa"/>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kern w:val="0"/>
                <w:sz w:val="22"/>
                <w:szCs w:val="22"/>
                <w:u w:val="none"/>
                <w:lang w:val="en-US" w:eastAsia="zh-CN" w:bidi="ar"/>
              </w:rPr>
            </w:pPr>
            <w:r>
              <w:rPr>
                <w:rFonts w:hint="eastAsia" w:ascii="仿宋_GB2312" w:hAnsi="宋体" w:eastAsia="仿宋_GB2312" w:cs="仿宋_GB2312"/>
                <w:i w:val="0"/>
                <w:iCs w:val="0"/>
                <w:color w:val="auto"/>
                <w:kern w:val="0"/>
                <w:sz w:val="22"/>
                <w:szCs w:val="22"/>
                <w:u w:val="none"/>
                <w:lang w:val="en-US" w:eastAsia="zh-CN" w:bidi="ar"/>
              </w:rPr>
              <w:t>服务对象满意度</w:t>
            </w:r>
          </w:p>
        </w:tc>
        <w:tc>
          <w:tcPr>
            <w:tcW w:w="1288" w:type="dxa"/>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auto"/>
                <w:sz w:val="22"/>
                <w:szCs w:val="22"/>
                <w:highlight w:val="none"/>
                <w:u w:val="none"/>
                <w:lang w:val="en-US" w:eastAsia="zh-CN"/>
              </w:rPr>
            </w:pPr>
            <w:r>
              <w:rPr>
                <w:rFonts w:hint="eastAsia" w:ascii="仿宋_GB2312" w:hAnsi="宋体" w:eastAsia="仿宋_GB2312" w:cs="仿宋_GB2312"/>
                <w:i w:val="0"/>
                <w:iCs w:val="0"/>
                <w:color w:val="auto"/>
                <w:sz w:val="22"/>
                <w:szCs w:val="22"/>
                <w:highlight w:val="none"/>
                <w:u w:val="none"/>
                <w:lang w:val="en-US" w:eastAsia="zh-CN"/>
              </w:rPr>
              <w:t>10.00</w:t>
            </w:r>
          </w:p>
        </w:tc>
        <w:tc>
          <w:tcPr>
            <w:tcW w:w="1255" w:type="dxa"/>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auto"/>
                <w:sz w:val="22"/>
                <w:szCs w:val="22"/>
                <w:highlight w:val="none"/>
                <w:u w:val="none"/>
                <w:lang w:val="en-US" w:eastAsia="zh-CN"/>
              </w:rPr>
            </w:pPr>
            <w:r>
              <w:rPr>
                <w:rFonts w:hint="eastAsia" w:ascii="仿宋_GB2312" w:hAnsi="宋体" w:eastAsia="仿宋_GB2312" w:cs="仿宋_GB2312"/>
                <w:i w:val="0"/>
                <w:iCs w:val="0"/>
                <w:color w:val="auto"/>
                <w:sz w:val="22"/>
                <w:szCs w:val="22"/>
                <w:highlight w:val="none"/>
                <w:u w:val="none"/>
                <w:lang w:val="en-US" w:eastAsia="zh-CN"/>
              </w:rPr>
              <w:t>9.50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245" w:type="dxa"/>
            <w:vMerge w:val="restart"/>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u w:val="none"/>
              </w:rPr>
            </w:pPr>
            <w:r>
              <w:rPr>
                <w:rFonts w:hint="eastAsia" w:ascii="仿宋_GB2312" w:hAnsi="宋体" w:eastAsia="仿宋_GB2312" w:cs="仿宋_GB2312"/>
                <w:i w:val="0"/>
                <w:iCs w:val="0"/>
                <w:color w:val="auto"/>
                <w:kern w:val="0"/>
                <w:sz w:val="22"/>
                <w:szCs w:val="22"/>
                <w:u w:val="none"/>
                <w:lang w:val="en-US" w:eastAsia="zh-CN" w:bidi="ar"/>
              </w:rPr>
              <w:t>预算管理情况（20）</w:t>
            </w:r>
          </w:p>
        </w:tc>
        <w:tc>
          <w:tcPr>
            <w:tcW w:w="2318" w:type="dxa"/>
            <w:vMerge w:val="restart"/>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u w:val="none"/>
              </w:rPr>
            </w:pPr>
            <w:r>
              <w:rPr>
                <w:rFonts w:hint="eastAsia" w:ascii="仿宋_GB2312" w:hAnsi="宋体" w:eastAsia="仿宋_GB2312" w:cs="仿宋_GB2312"/>
                <w:i w:val="0"/>
                <w:iCs w:val="0"/>
                <w:color w:val="auto"/>
                <w:kern w:val="0"/>
                <w:sz w:val="22"/>
                <w:szCs w:val="22"/>
                <w:u w:val="none"/>
                <w:lang w:val="en-US" w:eastAsia="zh-CN" w:bidi="ar"/>
              </w:rPr>
              <w:t>财务管理（4）</w:t>
            </w:r>
          </w:p>
        </w:tc>
        <w:tc>
          <w:tcPr>
            <w:tcW w:w="3151" w:type="dxa"/>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kern w:val="0"/>
                <w:sz w:val="22"/>
                <w:szCs w:val="22"/>
                <w:u w:val="none"/>
                <w:lang w:val="en-US" w:eastAsia="zh-CN" w:bidi="ar"/>
              </w:rPr>
            </w:pPr>
            <w:r>
              <w:rPr>
                <w:rFonts w:hint="eastAsia" w:ascii="仿宋_GB2312" w:hAnsi="宋体" w:eastAsia="仿宋_GB2312" w:cs="仿宋_GB2312"/>
                <w:i w:val="0"/>
                <w:iCs w:val="0"/>
                <w:color w:val="auto"/>
                <w:kern w:val="0"/>
                <w:sz w:val="22"/>
                <w:szCs w:val="22"/>
                <w:u w:val="none"/>
                <w:lang w:val="en-US" w:eastAsia="zh-CN" w:bidi="ar"/>
              </w:rPr>
              <w:t>财务管理制度健全性</w:t>
            </w:r>
          </w:p>
        </w:tc>
        <w:tc>
          <w:tcPr>
            <w:tcW w:w="1288" w:type="dxa"/>
            <w:shd w:val="clear" w:color="auto" w:fill="auto"/>
            <w:vAlign w:val="center"/>
          </w:tcPr>
          <w:p>
            <w:pPr>
              <w:jc w:val="center"/>
              <w:rPr>
                <w:rFonts w:hint="default" w:ascii="仿宋_GB2312" w:hAnsi="宋体" w:cs="仿宋_GB2312" w:eastAsiaTheme="minorEastAsia"/>
                <w:i w:val="0"/>
                <w:iCs w:val="0"/>
                <w:color w:val="auto"/>
                <w:sz w:val="22"/>
                <w:szCs w:val="22"/>
                <w:highlight w:val="yellow"/>
                <w:u w:val="none"/>
                <w:lang w:val="en-US" w:eastAsia="zh-CN"/>
              </w:rPr>
            </w:pPr>
            <w:r>
              <w:rPr>
                <w:rFonts w:hint="eastAsia" w:asciiTheme="minorEastAsia" w:hAnsiTheme="minorEastAsia" w:eastAsiaTheme="minorEastAsia"/>
                <w:color w:val="000000"/>
                <w:sz w:val="20"/>
                <w:szCs w:val="20"/>
              </w:rPr>
              <w:t>1</w:t>
            </w:r>
            <w:r>
              <w:rPr>
                <w:rFonts w:hint="eastAsia" w:asciiTheme="minorEastAsia" w:hAnsiTheme="minorEastAsia" w:eastAsiaTheme="minorEastAsia"/>
                <w:color w:val="000000"/>
                <w:sz w:val="20"/>
                <w:szCs w:val="20"/>
                <w:lang w:val="en-US" w:eastAsia="zh-CN"/>
              </w:rPr>
              <w:t>.00</w:t>
            </w:r>
          </w:p>
        </w:tc>
        <w:tc>
          <w:tcPr>
            <w:tcW w:w="1255" w:type="dxa"/>
            <w:shd w:val="clear" w:color="auto" w:fill="auto"/>
            <w:vAlign w:val="center"/>
          </w:tcPr>
          <w:p>
            <w:pPr>
              <w:jc w:val="center"/>
              <w:rPr>
                <w:rFonts w:hint="default" w:ascii="仿宋_GB2312" w:hAnsi="宋体" w:cs="仿宋_GB2312" w:eastAsiaTheme="minorEastAsia"/>
                <w:i w:val="0"/>
                <w:iCs w:val="0"/>
                <w:color w:val="auto"/>
                <w:sz w:val="22"/>
                <w:szCs w:val="22"/>
                <w:highlight w:val="yellow"/>
                <w:u w:val="none"/>
                <w:lang w:val="en-US" w:eastAsia="zh-CN"/>
              </w:rPr>
            </w:pPr>
            <w:r>
              <w:rPr>
                <w:rFonts w:hint="eastAsia" w:asciiTheme="minorEastAsia" w:hAnsiTheme="minorEastAsia" w:eastAsiaTheme="minorEastAsia"/>
                <w:color w:val="000000"/>
                <w:sz w:val="20"/>
                <w:szCs w:val="20"/>
              </w:rPr>
              <w:t>1</w:t>
            </w:r>
            <w:r>
              <w:rPr>
                <w:rFonts w:hint="eastAsia" w:asciiTheme="minorEastAsia" w:hAnsiTheme="minorEastAsia" w:eastAsiaTheme="minorEastAsia"/>
                <w:color w:val="000000"/>
                <w:sz w:val="20"/>
                <w:szCs w:val="20"/>
                <w:lang w:val="en-US" w:eastAsia="zh-CN"/>
              </w:rPr>
              <w:t>.00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245" w:type="dxa"/>
            <w:vMerge w:val="continue"/>
            <w:shd w:val="clear" w:color="auto" w:fill="auto"/>
            <w:vAlign w:val="center"/>
          </w:tcPr>
          <w:p>
            <w:pPr>
              <w:jc w:val="center"/>
              <w:rPr>
                <w:rFonts w:hint="eastAsia" w:ascii="仿宋_GB2312" w:hAnsi="宋体" w:eastAsia="仿宋_GB2312" w:cs="仿宋_GB2312"/>
                <w:i w:val="0"/>
                <w:iCs w:val="0"/>
                <w:color w:val="auto"/>
                <w:sz w:val="22"/>
                <w:szCs w:val="22"/>
                <w:u w:val="none"/>
              </w:rPr>
            </w:pPr>
          </w:p>
        </w:tc>
        <w:tc>
          <w:tcPr>
            <w:tcW w:w="2318" w:type="dxa"/>
            <w:vMerge w:val="continue"/>
            <w:shd w:val="clear" w:color="auto" w:fill="auto"/>
            <w:vAlign w:val="center"/>
          </w:tcPr>
          <w:p>
            <w:pPr>
              <w:jc w:val="center"/>
              <w:rPr>
                <w:rFonts w:hint="eastAsia" w:ascii="仿宋_GB2312" w:hAnsi="宋体" w:eastAsia="仿宋_GB2312" w:cs="仿宋_GB2312"/>
                <w:i w:val="0"/>
                <w:iCs w:val="0"/>
                <w:color w:val="auto"/>
                <w:sz w:val="22"/>
                <w:szCs w:val="22"/>
                <w:u w:val="none"/>
              </w:rPr>
            </w:pPr>
          </w:p>
        </w:tc>
        <w:tc>
          <w:tcPr>
            <w:tcW w:w="3151" w:type="dxa"/>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kern w:val="0"/>
                <w:sz w:val="22"/>
                <w:szCs w:val="22"/>
                <w:u w:val="none"/>
                <w:lang w:val="en-US" w:eastAsia="zh-CN" w:bidi="ar"/>
              </w:rPr>
            </w:pPr>
            <w:r>
              <w:rPr>
                <w:rFonts w:hint="eastAsia" w:ascii="仿宋_GB2312" w:hAnsi="宋体" w:eastAsia="仿宋_GB2312" w:cs="仿宋_GB2312"/>
                <w:i w:val="0"/>
                <w:iCs w:val="0"/>
                <w:color w:val="auto"/>
                <w:kern w:val="0"/>
                <w:sz w:val="22"/>
                <w:szCs w:val="22"/>
                <w:u w:val="none"/>
                <w:lang w:val="en-US" w:eastAsia="zh-CN" w:bidi="ar"/>
              </w:rPr>
              <w:t>资金使用合规性和安全性</w:t>
            </w:r>
          </w:p>
        </w:tc>
        <w:tc>
          <w:tcPr>
            <w:tcW w:w="1288" w:type="dxa"/>
            <w:shd w:val="clear" w:color="auto" w:fill="auto"/>
            <w:vAlign w:val="center"/>
          </w:tcPr>
          <w:p>
            <w:pPr>
              <w:jc w:val="center"/>
              <w:rPr>
                <w:rFonts w:hint="default" w:ascii="仿宋_GB2312" w:hAnsi="宋体" w:cs="仿宋_GB2312" w:eastAsiaTheme="minorEastAsia"/>
                <w:i w:val="0"/>
                <w:iCs w:val="0"/>
                <w:color w:val="auto"/>
                <w:sz w:val="22"/>
                <w:szCs w:val="22"/>
                <w:highlight w:val="yellow"/>
                <w:u w:val="none"/>
                <w:lang w:val="en-US" w:eastAsia="zh-CN"/>
              </w:rPr>
            </w:pPr>
            <w:r>
              <w:rPr>
                <w:rFonts w:hint="eastAsia" w:asciiTheme="minorEastAsia" w:hAnsiTheme="minorEastAsia" w:eastAsiaTheme="minorEastAsia"/>
                <w:color w:val="000000"/>
                <w:sz w:val="20"/>
                <w:szCs w:val="20"/>
              </w:rPr>
              <w:t>2</w:t>
            </w:r>
            <w:r>
              <w:rPr>
                <w:rFonts w:hint="eastAsia" w:asciiTheme="minorEastAsia" w:hAnsiTheme="minorEastAsia" w:eastAsiaTheme="minorEastAsia"/>
                <w:color w:val="000000"/>
                <w:sz w:val="20"/>
                <w:szCs w:val="20"/>
                <w:lang w:val="en-US" w:eastAsia="zh-CN"/>
              </w:rPr>
              <w:t>.00</w:t>
            </w:r>
          </w:p>
        </w:tc>
        <w:tc>
          <w:tcPr>
            <w:tcW w:w="1255" w:type="dxa"/>
            <w:shd w:val="clear" w:color="auto" w:fill="auto"/>
            <w:vAlign w:val="center"/>
          </w:tcPr>
          <w:p>
            <w:pPr>
              <w:jc w:val="center"/>
              <w:rPr>
                <w:rFonts w:hint="default" w:ascii="仿宋_GB2312" w:hAnsi="宋体" w:cs="仿宋_GB2312" w:eastAsiaTheme="minorEastAsia"/>
                <w:i w:val="0"/>
                <w:iCs w:val="0"/>
                <w:color w:val="auto"/>
                <w:sz w:val="22"/>
                <w:szCs w:val="22"/>
                <w:highlight w:val="yellow"/>
                <w:u w:val="none"/>
                <w:lang w:val="en-US" w:eastAsia="zh-CN"/>
              </w:rPr>
            </w:pPr>
            <w:r>
              <w:rPr>
                <w:rFonts w:hint="eastAsia" w:cs="宋体" w:asciiTheme="minorEastAsia" w:hAnsiTheme="minorEastAsia" w:eastAsiaTheme="minorEastAsia"/>
                <w:color w:val="000000"/>
                <w:sz w:val="20"/>
                <w:szCs w:val="20"/>
                <w:lang w:val="en-US" w:eastAsia="zh-CN"/>
              </w:rPr>
              <w:t>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245" w:type="dxa"/>
            <w:vMerge w:val="continue"/>
            <w:shd w:val="clear" w:color="auto" w:fill="auto"/>
            <w:vAlign w:val="center"/>
          </w:tcPr>
          <w:p>
            <w:pPr>
              <w:jc w:val="center"/>
              <w:rPr>
                <w:rFonts w:hint="eastAsia" w:ascii="仿宋_GB2312" w:hAnsi="宋体" w:eastAsia="仿宋_GB2312" w:cs="仿宋_GB2312"/>
                <w:i w:val="0"/>
                <w:iCs w:val="0"/>
                <w:color w:val="auto"/>
                <w:sz w:val="22"/>
                <w:szCs w:val="22"/>
                <w:u w:val="none"/>
              </w:rPr>
            </w:pPr>
          </w:p>
        </w:tc>
        <w:tc>
          <w:tcPr>
            <w:tcW w:w="2318" w:type="dxa"/>
            <w:vMerge w:val="continue"/>
            <w:shd w:val="clear" w:color="auto" w:fill="auto"/>
            <w:vAlign w:val="center"/>
          </w:tcPr>
          <w:p>
            <w:pPr>
              <w:jc w:val="center"/>
              <w:rPr>
                <w:rFonts w:hint="eastAsia" w:ascii="仿宋_GB2312" w:hAnsi="宋体" w:eastAsia="仿宋_GB2312" w:cs="仿宋_GB2312"/>
                <w:i w:val="0"/>
                <w:iCs w:val="0"/>
                <w:color w:val="auto"/>
                <w:sz w:val="22"/>
                <w:szCs w:val="22"/>
                <w:u w:val="none"/>
              </w:rPr>
            </w:pPr>
          </w:p>
        </w:tc>
        <w:tc>
          <w:tcPr>
            <w:tcW w:w="3151" w:type="dxa"/>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kern w:val="0"/>
                <w:sz w:val="22"/>
                <w:szCs w:val="22"/>
                <w:u w:val="none"/>
                <w:lang w:val="en-US" w:eastAsia="zh-CN" w:bidi="ar"/>
              </w:rPr>
            </w:pPr>
            <w:r>
              <w:rPr>
                <w:rFonts w:hint="eastAsia" w:ascii="仿宋_GB2312" w:hAnsi="宋体" w:eastAsia="仿宋_GB2312" w:cs="仿宋_GB2312"/>
                <w:i w:val="0"/>
                <w:iCs w:val="0"/>
                <w:color w:val="auto"/>
                <w:kern w:val="0"/>
                <w:sz w:val="22"/>
                <w:szCs w:val="22"/>
                <w:u w:val="none"/>
                <w:lang w:val="en-US" w:eastAsia="zh-CN" w:bidi="ar"/>
              </w:rPr>
              <w:t>会计基础信息完善性</w:t>
            </w:r>
          </w:p>
        </w:tc>
        <w:tc>
          <w:tcPr>
            <w:tcW w:w="1288" w:type="dxa"/>
            <w:shd w:val="clear" w:color="auto" w:fill="auto"/>
            <w:vAlign w:val="center"/>
          </w:tcPr>
          <w:p>
            <w:pPr>
              <w:widowControl/>
              <w:jc w:val="center"/>
              <w:rPr>
                <w:rFonts w:hint="default" w:ascii="仿宋_GB2312" w:hAnsi="宋体" w:cs="仿宋_GB2312" w:eastAsiaTheme="minorEastAsia"/>
                <w:i w:val="0"/>
                <w:iCs w:val="0"/>
                <w:color w:val="auto"/>
                <w:sz w:val="22"/>
                <w:szCs w:val="22"/>
                <w:highlight w:val="yellow"/>
                <w:u w:val="none"/>
                <w:lang w:val="en-US" w:eastAsia="zh-CN"/>
              </w:rPr>
            </w:pPr>
            <w:r>
              <w:rPr>
                <w:rFonts w:hint="eastAsia" w:cs="宋体" w:asciiTheme="minorEastAsia" w:hAnsiTheme="minorEastAsia" w:eastAsiaTheme="minorEastAsia"/>
                <w:color w:val="000000"/>
                <w:kern w:val="0"/>
                <w:sz w:val="20"/>
                <w:szCs w:val="20"/>
              </w:rPr>
              <w:t>1</w:t>
            </w:r>
            <w:r>
              <w:rPr>
                <w:rFonts w:hint="eastAsia" w:cs="宋体" w:asciiTheme="minorEastAsia" w:hAnsiTheme="minorEastAsia" w:eastAsiaTheme="minorEastAsia"/>
                <w:color w:val="000000"/>
                <w:kern w:val="0"/>
                <w:sz w:val="20"/>
                <w:szCs w:val="20"/>
                <w:lang w:val="en-US" w:eastAsia="zh-CN"/>
              </w:rPr>
              <w:t>.00</w:t>
            </w:r>
          </w:p>
        </w:tc>
        <w:tc>
          <w:tcPr>
            <w:tcW w:w="1255" w:type="dxa"/>
            <w:shd w:val="clear" w:color="auto" w:fill="auto"/>
            <w:vAlign w:val="center"/>
          </w:tcPr>
          <w:p>
            <w:pPr>
              <w:widowControl/>
              <w:jc w:val="center"/>
              <w:rPr>
                <w:rFonts w:hint="default" w:ascii="仿宋_GB2312" w:hAnsi="宋体" w:cs="仿宋_GB2312" w:eastAsiaTheme="minorEastAsia"/>
                <w:i w:val="0"/>
                <w:iCs w:val="0"/>
                <w:color w:val="auto"/>
                <w:sz w:val="22"/>
                <w:szCs w:val="22"/>
                <w:highlight w:val="yellow"/>
                <w:u w:val="none"/>
                <w:lang w:val="en-US" w:eastAsia="zh-CN"/>
              </w:rPr>
            </w:pPr>
            <w:r>
              <w:rPr>
                <w:rFonts w:hint="eastAsia" w:cs="宋体" w:asciiTheme="minorEastAsia" w:hAnsiTheme="minorEastAsia" w:eastAsiaTheme="minorEastAsia"/>
                <w:color w:val="000000"/>
                <w:kern w:val="0"/>
                <w:sz w:val="20"/>
                <w:szCs w:val="20"/>
              </w:rPr>
              <w:t>1</w:t>
            </w:r>
            <w:r>
              <w:rPr>
                <w:rFonts w:hint="eastAsia" w:cs="宋体" w:asciiTheme="minorEastAsia" w:hAnsiTheme="minorEastAsia" w:eastAsiaTheme="minorEastAsia"/>
                <w:color w:val="000000"/>
                <w:kern w:val="0"/>
                <w:sz w:val="20"/>
                <w:szCs w:val="20"/>
                <w:lang w:val="en-US" w:eastAsia="zh-CN"/>
              </w:rPr>
              <w:t>.00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jc w:val="center"/>
        </w:trPr>
        <w:tc>
          <w:tcPr>
            <w:tcW w:w="1245" w:type="dxa"/>
            <w:vMerge w:val="continue"/>
            <w:shd w:val="clear" w:color="auto" w:fill="auto"/>
            <w:vAlign w:val="center"/>
          </w:tcPr>
          <w:p>
            <w:pPr>
              <w:jc w:val="center"/>
              <w:rPr>
                <w:rFonts w:hint="eastAsia" w:ascii="仿宋_GB2312" w:hAnsi="宋体" w:eastAsia="仿宋_GB2312" w:cs="仿宋_GB2312"/>
                <w:i w:val="0"/>
                <w:iCs w:val="0"/>
                <w:color w:val="auto"/>
                <w:sz w:val="22"/>
                <w:szCs w:val="22"/>
                <w:u w:val="none"/>
              </w:rPr>
            </w:pPr>
          </w:p>
        </w:tc>
        <w:tc>
          <w:tcPr>
            <w:tcW w:w="2318" w:type="dxa"/>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u w:val="none"/>
              </w:rPr>
            </w:pPr>
            <w:r>
              <w:rPr>
                <w:rFonts w:hint="eastAsia" w:ascii="仿宋_GB2312" w:hAnsi="宋体" w:eastAsia="仿宋_GB2312" w:cs="仿宋_GB2312"/>
                <w:i w:val="0"/>
                <w:iCs w:val="0"/>
                <w:color w:val="auto"/>
                <w:kern w:val="0"/>
                <w:sz w:val="22"/>
                <w:szCs w:val="22"/>
                <w:u w:val="none"/>
                <w:lang w:val="en-US" w:eastAsia="zh-CN" w:bidi="ar"/>
              </w:rPr>
              <w:t>资产管理（4）</w:t>
            </w:r>
          </w:p>
        </w:tc>
        <w:tc>
          <w:tcPr>
            <w:tcW w:w="3151" w:type="dxa"/>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kern w:val="0"/>
                <w:sz w:val="22"/>
                <w:szCs w:val="22"/>
                <w:u w:val="none"/>
                <w:lang w:val="en-US" w:eastAsia="zh-CN" w:bidi="ar"/>
              </w:rPr>
            </w:pPr>
            <w:r>
              <w:rPr>
                <w:rFonts w:hint="eastAsia" w:ascii="仿宋_GB2312" w:hAnsi="宋体" w:eastAsia="仿宋_GB2312" w:cs="仿宋_GB2312"/>
                <w:i w:val="0"/>
                <w:iCs w:val="0"/>
                <w:color w:val="auto"/>
                <w:kern w:val="0"/>
                <w:sz w:val="22"/>
                <w:szCs w:val="22"/>
                <w:u w:val="none"/>
                <w:lang w:val="en-US" w:eastAsia="zh-CN" w:bidi="ar"/>
              </w:rPr>
              <w:t>资产管理规范性</w:t>
            </w:r>
          </w:p>
        </w:tc>
        <w:tc>
          <w:tcPr>
            <w:tcW w:w="1288" w:type="dxa"/>
            <w:shd w:val="clear" w:color="auto" w:fill="auto"/>
            <w:vAlign w:val="center"/>
          </w:tcPr>
          <w:p>
            <w:pPr>
              <w:widowControl/>
              <w:jc w:val="center"/>
              <w:rPr>
                <w:rFonts w:hint="default" w:ascii="仿宋_GB2312" w:hAnsi="宋体" w:cs="仿宋_GB2312" w:eastAsiaTheme="minorEastAsia"/>
                <w:i w:val="0"/>
                <w:iCs w:val="0"/>
                <w:color w:val="auto"/>
                <w:sz w:val="22"/>
                <w:szCs w:val="22"/>
                <w:highlight w:val="yellow"/>
                <w:u w:val="none"/>
                <w:lang w:val="en-US" w:eastAsia="zh-CN"/>
              </w:rPr>
            </w:pPr>
            <w:r>
              <w:rPr>
                <w:rFonts w:hint="eastAsia" w:cs="宋体" w:asciiTheme="minorEastAsia" w:hAnsiTheme="minorEastAsia" w:eastAsiaTheme="minorEastAsia"/>
                <w:color w:val="000000"/>
                <w:kern w:val="0"/>
                <w:sz w:val="20"/>
                <w:szCs w:val="20"/>
              </w:rPr>
              <w:t>4</w:t>
            </w:r>
            <w:r>
              <w:rPr>
                <w:rFonts w:hint="eastAsia" w:cs="宋体" w:asciiTheme="minorEastAsia" w:hAnsiTheme="minorEastAsia" w:eastAsiaTheme="minorEastAsia"/>
                <w:color w:val="000000"/>
                <w:kern w:val="0"/>
                <w:sz w:val="20"/>
                <w:szCs w:val="20"/>
                <w:lang w:val="en-US" w:eastAsia="zh-CN"/>
              </w:rPr>
              <w:t>.00</w:t>
            </w:r>
          </w:p>
        </w:tc>
        <w:tc>
          <w:tcPr>
            <w:tcW w:w="1255" w:type="dxa"/>
            <w:shd w:val="clear" w:color="auto" w:fill="auto"/>
            <w:vAlign w:val="center"/>
          </w:tcPr>
          <w:p>
            <w:pPr>
              <w:widowControl/>
              <w:jc w:val="center"/>
              <w:rPr>
                <w:rFonts w:hint="default" w:ascii="仿宋_GB2312" w:hAnsi="宋体" w:cs="仿宋_GB2312" w:eastAsiaTheme="minorEastAsia"/>
                <w:i w:val="0"/>
                <w:iCs w:val="0"/>
                <w:color w:val="auto"/>
                <w:sz w:val="22"/>
                <w:szCs w:val="22"/>
                <w:highlight w:val="yellow"/>
                <w:u w:val="none"/>
                <w:lang w:val="en-US" w:eastAsia="zh-CN"/>
              </w:rPr>
            </w:pPr>
            <w:r>
              <w:rPr>
                <w:rFonts w:hint="eastAsia" w:cs="宋体" w:asciiTheme="minorEastAsia" w:hAnsiTheme="minorEastAsia" w:eastAsiaTheme="minorEastAsia"/>
                <w:color w:val="000000"/>
                <w:kern w:val="0"/>
                <w:sz w:val="20"/>
                <w:szCs w:val="20"/>
              </w:rPr>
              <w:t>4</w:t>
            </w:r>
            <w:r>
              <w:rPr>
                <w:rFonts w:hint="eastAsia" w:cs="宋体" w:asciiTheme="minorEastAsia" w:hAnsiTheme="minorEastAsia" w:eastAsiaTheme="minorEastAsia"/>
                <w:color w:val="000000"/>
                <w:kern w:val="0"/>
                <w:sz w:val="20"/>
                <w:szCs w:val="20"/>
                <w:lang w:val="en-US" w:eastAsia="zh-CN"/>
              </w:rPr>
              <w:t>.00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1" w:hRule="atLeast"/>
          <w:jc w:val="center"/>
        </w:trPr>
        <w:tc>
          <w:tcPr>
            <w:tcW w:w="1245" w:type="dxa"/>
            <w:vMerge w:val="continue"/>
            <w:shd w:val="clear" w:color="auto" w:fill="auto"/>
            <w:vAlign w:val="center"/>
          </w:tcPr>
          <w:p>
            <w:pPr>
              <w:jc w:val="center"/>
              <w:rPr>
                <w:rFonts w:hint="eastAsia" w:ascii="仿宋_GB2312" w:hAnsi="宋体" w:eastAsia="仿宋_GB2312" w:cs="仿宋_GB2312"/>
                <w:i w:val="0"/>
                <w:iCs w:val="0"/>
                <w:color w:val="auto"/>
                <w:sz w:val="22"/>
                <w:szCs w:val="22"/>
                <w:u w:val="none"/>
              </w:rPr>
            </w:pPr>
          </w:p>
        </w:tc>
        <w:tc>
          <w:tcPr>
            <w:tcW w:w="2318" w:type="dxa"/>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u w:val="none"/>
              </w:rPr>
            </w:pPr>
            <w:r>
              <w:rPr>
                <w:rFonts w:hint="eastAsia" w:ascii="仿宋_GB2312" w:hAnsi="宋体" w:eastAsia="仿宋_GB2312" w:cs="仿宋_GB2312"/>
                <w:i w:val="0"/>
                <w:iCs w:val="0"/>
                <w:color w:val="auto"/>
                <w:kern w:val="0"/>
                <w:sz w:val="22"/>
                <w:szCs w:val="22"/>
                <w:u w:val="none"/>
                <w:lang w:val="en-US" w:eastAsia="zh-CN" w:bidi="ar"/>
              </w:rPr>
              <w:t>绩效管理（4）</w:t>
            </w:r>
          </w:p>
        </w:tc>
        <w:tc>
          <w:tcPr>
            <w:tcW w:w="3151" w:type="dxa"/>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kern w:val="0"/>
                <w:sz w:val="22"/>
                <w:szCs w:val="22"/>
                <w:u w:val="none"/>
                <w:lang w:val="en-US" w:eastAsia="zh-CN" w:bidi="ar"/>
              </w:rPr>
            </w:pPr>
            <w:r>
              <w:rPr>
                <w:rFonts w:hint="eastAsia" w:ascii="仿宋_GB2312" w:hAnsi="宋体" w:eastAsia="仿宋_GB2312" w:cs="仿宋_GB2312"/>
                <w:i w:val="0"/>
                <w:iCs w:val="0"/>
                <w:color w:val="auto"/>
                <w:kern w:val="0"/>
                <w:sz w:val="22"/>
                <w:szCs w:val="22"/>
                <w:u w:val="none"/>
                <w:lang w:val="en-US" w:eastAsia="zh-CN" w:bidi="ar"/>
              </w:rPr>
              <w:t>绩效管理情况</w:t>
            </w:r>
          </w:p>
        </w:tc>
        <w:tc>
          <w:tcPr>
            <w:tcW w:w="1288" w:type="dxa"/>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highlight w:val="none"/>
                <w:u w:val="none"/>
              </w:rPr>
            </w:pPr>
            <w:r>
              <w:rPr>
                <w:rFonts w:hint="eastAsia" w:ascii="仿宋_GB2312" w:hAnsi="宋体" w:eastAsia="仿宋_GB2312" w:cs="仿宋_GB2312"/>
                <w:i w:val="0"/>
                <w:iCs w:val="0"/>
                <w:color w:val="auto"/>
                <w:kern w:val="0"/>
                <w:sz w:val="22"/>
                <w:szCs w:val="22"/>
                <w:highlight w:val="none"/>
                <w:u w:val="none"/>
                <w:lang w:val="en-US" w:eastAsia="zh-CN" w:bidi="ar"/>
              </w:rPr>
              <w:t>4.00</w:t>
            </w:r>
          </w:p>
        </w:tc>
        <w:tc>
          <w:tcPr>
            <w:tcW w:w="1255" w:type="dxa"/>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highlight w:val="none"/>
                <w:u w:val="none"/>
              </w:rPr>
            </w:pPr>
            <w:r>
              <w:rPr>
                <w:rFonts w:hint="eastAsia" w:ascii="仿宋_GB2312" w:hAnsi="宋体" w:eastAsia="仿宋_GB2312" w:cs="仿宋_GB2312"/>
                <w:i w:val="0"/>
                <w:iCs w:val="0"/>
                <w:color w:val="auto"/>
                <w:kern w:val="0"/>
                <w:sz w:val="22"/>
                <w:szCs w:val="22"/>
                <w:highlight w:val="none"/>
                <w:u w:val="none"/>
                <w:lang w:val="en-US" w:eastAsia="zh-CN" w:bidi="ar"/>
              </w:rPr>
              <w:t>4.00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jc w:val="center"/>
        </w:trPr>
        <w:tc>
          <w:tcPr>
            <w:tcW w:w="1245" w:type="dxa"/>
            <w:vMerge w:val="continue"/>
            <w:shd w:val="clear" w:color="auto" w:fill="auto"/>
            <w:vAlign w:val="center"/>
          </w:tcPr>
          <w:p>
            <w:pPr>
              <w:jc w:val="center"/>
              <w:rPr>
                <w:rFonts w:hint="eastAsia" w:ascii="仿宋_GB2312" w:hAnsi="宋体" w:eastAsia="仿宋_GB2312" w:cs="仿宋_GB2312"/>
                <w:i w:val="0"/>
                <w:iCs w:val="0"/>
                <w:color w:val="auto"/>
                <w:sz w:val="22"/>
                <w:szCs w:val="22"/>
                <w:u w:val="none"/>
              </w:rPr>
            </w:pPr>
          </w:p>
        </w:tc>
        <w:tc>
          <w:tcPr>
            <w:tcW w:w="2318" w:type="dxa"/>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u w:val="none"/>
              </w:rPr>
            </w:pPr>
            <w:r>
              <w:rPr>
                <w:rFonts w:hint="eastAsia" w:ascii="仿宋_GB2312" w:hAnsi="宋体" w:eastAsia="仿宋_GB2312" w:cs="仿宋_GB2312"/>
                <w:i w:val="0"/>
                <w:iCs w:val="0"/>
                <w:color w:val="auto"/>
                <w:kern w:val="0"/>
                <w:sz w:val="22"/>
                <w:szCs w:val="22"/>
                <w:u w:val="none"/>
                <w:lang w:val="en-US" w:eastAsia="zh-CN" w:bidi="ar"/>
              </w:rPr>
              <w:t>结转结余率（4）</w:t>
            </w:r>
          </w:p>
        </w:tc>
        <w:tc>
          <w:tcPr>
            <w:tcW w:w="3151" w:type="dxa"/>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u w:val="none"/>
                <w:lang w:val="en-US" w:eastAsia="zh-CN"/>
              </w:rPr>
            </w:pPr>
            <w:r>
              <w:rPr>
                <w:rFonts w:hint="eastAsia" w:ascii="仿宋_GB2312" w:hAnsi="宋体" w:eastAsia="仿宋_GB2312" w:cs="仿宋_GB2312"/>
                <w:i w:val="0"/>
                <w:iCs w:val="0"/>
                <w:color w:val="auto"/>
                <w:sz w:val="22"/>
                <w:szCs w:val="22"/>
                <w:u w:val="none"/>
                <w:lang w:val="en-US" w:eastAsia="zh-CN"/>
              </w:rPr>
              <w:t>-</w:t>
            </w:r>
          </w:p>
        </w:tc>
        <w:tc>
          <w:tcPr>
            <w:tcW w:w="1288" w:type="dxa"/>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highlight w:val="none"/>
                <w:u w:val="none"/>
              </w:rPr>
            </w:pPr>
            <w:r>
              <w:rPr>
                <w:rFonts w:hint="eastAsia" w:ascii="仿宋_GB2312" w:hAnsi="宋体" w:eastAsia="仿宋_GB2312" w:cs="仿宋_GB2312"/>
                <w:i w:val="0"/>
                <w:iCs w:val="0"/>
                <w:color w:val="auto"/>
                <w:kern w:val="0"/>
                <w:sz w:val="22"/>
                <w:szCs w:val="22"/>
                <w:highlight w:val="none"/>
                <w:u w:val="none"/>
                <w:lang w:val="en-US" w:eastAsia="zh-CN" w:bidi="ar"/>
              </w:rPr>
              <w:t>4.00</w:t>
            </w:r>
          </w:p>
        </w:tc>
        <w:tc>
          <w:tcPr>
            <w:tcW w:w="1255" w:type="dxa"/>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auto"/>
                <w:sz w:val="22"/>
                <w:szCs w:val="22"/>
                <w:highlight w:val="yellow"/>
                <w:u w:val="none"/>
                <w:lang w:val="en-US" w:eastAsia="zh-CN"/>
              </w:rPr>
            </w:pPr>
            <w:r>
              <w:rPr>
                <w:rFonts w:hint="eastAsia" w:ascii="仿宋_GB2312" w:hAnsi="宋体" w:eastAsia="仿宋_GB2312" w:cs="仿宋_GB2312"/>
                <w:i w:val="0"/>
                <w:iCs w:val="0"/>
                <w:color w:val="auto"/>
                <w:sz w:val="22"/>
                <w:szCs w:val="22"/>
                <w:highlight w:val="none"/>
                <w:u w:val="none"/>
                <w:lang w:val="en-US" w:eastAsia="zh-CN"/>
              </w:rPr>
              <w:t>1.64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jc w:val="center"/>
        </w:trPr>
        <w:tc>
          <w:tcPr>
            <w:tcW w:w="1245" w:type="dxa"/>
            <w:vMerge w:val="continue"/>
            <w:shd w:val="clear" w:color="auto" w:fill="auto"/>
            <w:vAlign w:val="center"/>
          </w:tcPr>
          <w:p>
            <w:pPr>
              <w:jc w:val="center"/>
              <w:rPr>
                <w:rFonts w:hint="eastAsia" w:ascii="仿宋_GB2312" w:hAnsi="宋体" w:eastAsia="仿宋_GB2312" w:cs="仿宋_GB2312"/>
                <w:i w:val="0"/>
                <w:iCs w:val="0"/>
                <w:color w:val="auto"/>
                <w:sz w:val="22"/>
                <w:szCs w:val="22"/>
                <w:u w:val="none"/>
              </w:rPr>
            </w:pPr>
          </w:p>
        </w:tc>
        <w:tc>
          <w:tcPr>
            <w:tcW w:w="2318" w:type="dxa"/>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u w:val="none"/>
              </w:rPr>
            </w:pPr>
            <w:r>
              <w:rPr>
                <w:rFonts w:hint="eastAsia" w:ascii="仿宋_GB2312" w:hAnsi="宋体" w:eastAsia="仿宋_GB2312" w:cs="仿宋_GB2312"/>
                <w:i w:val="0"/>
                <w:iCs w:val="0"/>
                <w:color w:val="auto"/>
                <w:kern w:val="0"/>
                <w:sz w:val="22"/>
                <w:szCs w:val="22"/>
                <w:u w:val="none"/>
                <w:lang w:val="en-US" w:eastAsia="zh-CN" w:bidi="ar"/>
              </w:rPr>
              <w:t>部门预决算差异率（4）</w:t>
            </w:r>
          </w:p>
        </w:tc>
        <w:tc>
          <w:tcPr>
            <w:tcW w:w="3151" w:type="dxa"/>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u w:val="none"/>
                <w:lang w:val="en-US" w:eastAsia="zh-CN"/>
              </w:rPr>
            </w:pPr>
            <w:r>
              <w:rPr>
                <w:rFonts w:hint="eastAsia" w:ascii="仿宋_GB2312" w:hAnsi="宋体" w:eastAsia="仿宋_GB2312" w:cs="仿宋_GB2312"/>
                <w:i w:val="0"/>
                <w:iCs w:val="0"/>
                <w:color w:val="auto"/>
                <w:sz w:val="22"/>
                <w:szCs w:val="22"/>
                <w:u w:val="none"/>
                <w:lang w:val="en-US" w:eastAsia="zh-CN"/>
              </w:rPr>
              <w:t>-</w:t>
            </w:r>
          </w:p>
        </w:tc>
        <w:tc>
          <w:tcPr>
            <w:tcW w:w="1288" w:type="dxa"/>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highlight w:val="none"/>
                <w:u w:val="none"/>
              </w:rPr>
            </w:pPr>
            <w:r>
              <w:rPr>
                <w:rFonts w:hint="eastAsia" w:ascii="仿宋_GB2312" w:hAnsi="宋体" w:eastAsia="仿宋_GB2312" w:cs="仿宋_GB2312"/>
                <w:i w:val="0"/>
                <w:iCs w:val="0"/>
                <w:color w:val="auto"/>
                <w:kern w:val="0"/>
                <w:sz w:val="22"/>
                <w:szCs w:val="22"/>
                <w:highlight w:val="none"/>
                <w:u w:val="none"/>
                <w:lang w:val="en-US" w:eastAsia="zh-CN" w:bidi="ar"/>
              </w:rPr>
              <w:t>4.00</w:t>
            </w:r>
          </w:p>
        </w:tc>
        <w:tc>
          <w:tcPr>
            <w:tcW w:w="1255" w:type="dxa"/>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auto"/>
                <w:sz w:val="22"/>
                <w:szCs w:val="22"/>
                <w:highlight w:val="yellow"/>
                <w:u w:val="none"/>
                <w:lang w:val="en-US" w:eastAsia="zh-CN"/>
              </w:rPr>
            </w:pPr>
            <w:r>
              <w:rPr>
                <w:rFonts w:hint="eastAsia" w:ascii="仿宋_GB2312" w:hAnsi="宋体" w:eastAsia="仿宋_GB2312" w:cs="仿宋_GB2312"/>
                <w:i w:val="0"/>
                <w:iCs w:val="0"/>
                <w:color w:val="auto"/>
                <w:sz w:val="22"/>
                <w:szCs w:val="22"/>
                <w:highlight w:val="none"/>
                <w:u w:val="none"/>
                <w:lang w:val="en-US" w:eastAsia="zh-CN"/>
              </w:rPr>
              <w:t>4.00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714" w:type="dxa"/>
            <w:gridSpan w:val="3"/>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u w:val="none"/>
              </w:rPr>
            </w:pPr>
            <w:r>
              <w:rPr>
                <w:rFonts w:hint="eastAsia" w:ascii="仿宋_GB2312" w:hAnsi="宋体" w:eastAsia="仿宋_GB2312" w:cs="仿宋_GB2312"/>
                <w:i w:val="0"/>
                <w:iCs w:val="0"/>
                <w:color w:val="auto"/>
                <w:kern w:val="0"/>
                <w:sz w:val="22"/>
                <w:szCs w:val="22"/>
                <w:u w:val="none"/>
                <w:lang w:val="en-US" w:eastAsia="zh-CN" w:bidi="ar"/>
              </w:rPr>
              <w:t>合计</w:t>
            </w:r>
          </w:p>
        </w:tc>
        <w:tc>
          <w:tcPr>
            <w:tcW w:w="1288" w:type="dxa"/>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highlight w:val="none"/>
                <w:u w:val="none"/>
              </w:rPr>
            </w:pPr>
            <w:r>
              <w:rPr>
                <w:rFonts w:hint="eastAsia" w:ascii="仿宋_GB2312" w:hAnsi="宋体" w:eastAsia="仿宋_GB2312" w:cs="仿宋_GB2312"/>
                <w:i w:val="0"/>
                <w:iCs w:val="0"/>
                <w:color w:val="auto"/>
                <w:kern w:val="0"/>
                <w:sz w:val="22"/>
                <w:szCs w:val="22"/>
                <w:highlight w:val="none"/>
                <w:u w:val="none"/>
                <w:lang w:val="en-US" w:eastAsia="zh-CN" w:bidi="ar"/>
              </w:rPr>
              <w:t>100.00</w:t>
            </w:r>
          </w:p>
        </w:tc>
        <w:tc>
          <w:tcPr>
            <w:tcW w:w="1255" w:type="dxa"/>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auto"/>
                <w:sz w:val="22"/>
                <w:szCs w:val="22"/>
                <w:highlight w:val="none"/>
                <w:u w:val="none"/>
                <w:lang w:val="en-US" w:eastAsia="zh-CN"/>
              </w:rPr>
            </w:pPr>
            <w:r>
              <w:rPr>
                <w:rFonts w:hint="eastAsia" w:ascii="仿宋_GB2312" w:hAnsi="宋体" w:eastAsia="仿宋_GB2312" w:cs="仿宋_GB2312"/>
                <w:i w:val="0"/>
                <w:iCs w:val="0"/>
                <w:color w:val="auto"/>
                <w:sz w:val="22"/>
                <w:szCs w:val="22"/>
                <w:highlight w:val="none"/>
                <w:u w:val="none"/>
                <w:lang w:val="en-US" w:eastAsia="zh-CN"/>
              </w:rPr>
              <w:t>91.95</w:t>
            </w:r>
          </w:p>
        </w:tc>
      </w:tr>
    </w:tbl>
    <w:p>
      <w:pPr>
        <w:spacing w:line="560" w:lineRule="exact"/>
        <w:ind w:firstLine="640" w:firstLineChars="200"/>
        <w:outlineLvl w:val="0"/>
        <w:rPr>
          <w:rFonts w:hint="eastAsia" w:ascii="方正黑体_GBK" w:hAnsi="方正黑体_GBK" w:eastAsia="方正黑体_GBK" w:cs="方正黑体_GBK"/>
          <w:b w:val="0"/>
          <w:bCs w:val="0"/>
          <w:sz w:val="32"/>
          <w:szCs w:val="32"/>
        </w:rPr>
      </w:pPr>
      <w:r>
        <w:rPr>
          <w:rFonts w:hint="eastAsia" w:ascii="方正黑体_GBK" w:hAnsi="方正黑体_GBK" w:eastAsia="方正黑体_GBK" w:cs="方正黑体_GBK"/>
          <w:b w:val="0"/>
          <w:bCs w:val="0"/>
          <w:sz w:val="32"/>
          <w:szCs w:val="32"/>
          <w:lang w:eastAsia="zh-CN"/>
        </w:rPr>
        <w:t>六、</w:t>
      </w:r>
      <w:r>
        <w:rPr>
          <w:rFonts w:hint="eastAsia" w:ascii="方正黑体_GBK" w:hAnsi="方正黑体_GBK" w:eastAsia="方正黑体_GBK" w:cs="方正黑体_GBK"/>
          <w:b w:val="0"/>
          <w:bCs w:val="0"/>
          <w:sz w:val="32"/>
          <w:szCs w:val="32"/>
          <w:lang w:val="en-US" w:eastAsia="zh-CN"/>
        </w:rPr>
        <w:t>部门绩效自评</w:t>
      </w:r>
      <w:r>
        <w:rPr>
          <w:rFonts w:hint="eastAsia" w:ascii="方正黑体_GBK" w:hAnsi="方正黑体_GBK" w:eastAsia="方正黑体_GBK" w:cs="方正黑体_GBK"/>
          <w:b w:val="0"/>
          <w:bCs w:val="0"/>
          <w:sz w:val="32"/>
          <w:szCs w:val="32"/>
        </w:rPr>
        <w:t>工作开展情况</w:t>
      </w:r>
    </w:p>
    <w:p>
      <w:pPr>
        <w:spacing w:line="560" w:lineRule="exact"/>
        <w:ind w:firstLine="640" w:firstLineChars="200"/>
        <w:rPr>
          <w:rFonts w:hint="eastAsia" w:ascii="仿宋_GB2312" w:eastAsia="仿宋_GB2312"/>
          <w:sz w:val="32"/>
          <w:szCs w:val="32"/>
          <w:highlight w:val="yellow"/>
        </w:rPr>
      </w:pPr>
      <w:r>
        <w:rPr>
          <w:rFonts w:hint="eastAsia" w:ascii="仿宋_GB2312" w:eastAsia="仿宋_GB2312"/>
          <w:sz w:val="32"/>
          <w:szCs w:val="32"/>
          <w:lang w:val="en-US" w:eastAsia="zh-CN"/>
        </w:rPr>
        <w:t>（一）</w:t>
      </w:r>
      <w:r>
        <w:rPr>
          <w:rFonts w:hint="eastAsia" w:ascii="仿宋_GB2312" w:eastAsia="仿宋_GB2312"/>
          <w:sz w:val="32"/>
          <w:szCs w:val="32"/>
        </w:rPr>
        <w:t>市农研中心积极开展绩效自评工作，根据市财政局</w:t>
      </w:r>
      <w:r>
        <w:rPr>
          <w:rFonts w:hint="eastAsia" w:ascii="仿宋_GB2312" w:hAnsi="楷体" w:eastAsia="仿宋_GB2312"/>
          <w:bCs/>
          <w:kern w:val="0"/>
          <w:sz w:val="32"/>
          <w:szCs w:val="28"/>
        </w:rPr>
        <w:t>《北京市财政局关于2025年预算绩效管理工作的通知》</w:t>
      </w:r>
      <w:r>
        <w:rPr>
          <w:rFonts w:hint="eastAsia" w:ascii="仿宋_GB2312" w:hAnsi="楷体" w:eastAsia="仿宋_GB2312"/>
          <w:bCs/>
          <w:kern w:val="0"/>
          <w:sz w:val="32"/>
          <w:szCs w:val="28"/>
          <w:lang w:val="en-US" w:eastAsia="zh-CN"/>
        </w:rPr>
        <w:t>等要求</w:t>
      </w:r>
      <w:r>
        <w:rPr>
          <w:rFonts w:hint="eastAsia" w:ascii="仿宋_GB2312" w:hAnsi="楷体" w:eastAsia="仿宋_GB2312"/>
          <w:bCs/>
          <w:kern w:val="0"/>
          <w:sz w:val="32"/>
          <w:szCs w:val="28"/>
          <w:lang w:eastAsia="zh-CN"/>
        </w:rPr>
        <w:t>，</w:t>
      </w:r>
      <w:r>
        <w:rPr>
          <w:rFonts w:hint="eastAsia" w:ascii="仿宋_GB2312" w:eastAsia="仿宋_GB2312"/>
          <w:sz w:val="32"/>
          <w:szCs w:val="32"/>
        </w:rPr>
        <w:t>202</w:t>
      </w:r>
      <w:r>
        <w:rPr>
          <w:rFonts w:hint="eastAsia" w:ascii="仿宋_GB2312" w:eastAsia="仿宋_GB2312"/>
          <w:sz w:val="32"/>
          <w:szCs w:val="32"/>
          <w:lang w:val="en-US" w:eastAsia="zh-CN"/>
        </w:rPr>
        <w:t>5</w:t>
      </w:r>
      <w:r>
        <w:rPr>
          <w:rFonts w:hint="eastAsia" w:ascii="仿宋_GB2312" w:eastAsia="仿宋_GB2312"/>
          <w:sz w:val="32"/>
          <w:szCs w:val="32"/>
        </w:rPr>
        <w:t>年</w:t>
      </w:r>
      <w:r>
        <w:rPr>
          <w:rFonts w:hint="eastAsia" w:ascii="仿宋_GB2312" w:eastAsia="仿宋_GB2312"/>
          <w:sz w:val="32"/>
          <w:szCs w:val="32"/>
          <w:lang w:val="en-US" w:eastAsia="zh-CN"/>
        </w:rPr>
        <w:t>4</w:t>
      </w:r>
      <w:r>
        <w:rPr>
          <w:rFonts w:hint="eastAsia" w:ascii="仿宋_GB2312" w:eastAsia="仿宋_GB2312"/>
          <w:sz w:val="32"/>
          <w:szCs w:val="32"/>
        </w:rPr>
        <w:t>月</w:t>
      </w:r>
      <w:r>
        <w:rPr>
          <w:rFonts w:hint="eastAsia" w:ascii="仿宋_GB2312" w:eastAsia="仿宋_GB2312"/>
          <w:sz w:val="32"/>
          <w:szCs w:val="32"/>
          <w:lang w:val="en-US" w:eastAsia="zh-CN"/>
        </w:rPr>
        <w:t>10</w:t>
      </w:r>
      <w:r>
        <w:rPr>
          <w:rFonts w:hint="eastAsia" w:ascii="仿宋_GB2312" w:eastAsia="仿宋_GB2312"/>
          <w:sz w:val="32"/>
          <w:szCs w:val="32"/>
        </w:rPr>
        <w:t>日制定下发了《关于开展20</w:t>
      </w:r>
      <w:r>
        <w:rPr>
          <w:rFonts w:ascii="仿宋_GB2312" w:eastAsia="仿宋_GB2312"/>
          <w:sz w:val="32"/>
          <w:szCs w:val="32"/>
        </w:rPr>
        <w:t>2</w:t>
      </w:r>
      <w:r>
        <w:rPr>
          <w:rFonts w:hint="eastAsia" w:ascii="仿宋_GB2312" w:eastAsia="仿宋_GB2312"/>
          <w:sz w:val="32"/>
          <w:szCs w:val="32"/>
          <w:lang w:val="en-US" w:eastAsia="zh-CN"/>
        </w:rPr>
        <w:t>4</w:t>
      </w:r>
      <w:r>
        <w:rPr>
          <w:rFonts w:hint="eastAsia" w:ascii="仿宋_GB2312" w:eastAsia="仿宋_GB2312"/>
          <w:sz w:val="32"/>
          <w:szCs w:val="32"/>
        </w:rPr>
        <w:t>年度预算项目支出绩效评价工作的通知》，明确绩效自评的评价</w:t>
      </w:r>
      <w:r>
        <w:rPr>
          <w:rFonts w:ascii="仿宋_GB2312" w:eastAsia="仿宋_GB2312"/>
          <w:sz w:val="32"/>
          <w:szCs w:val="32"/>
        </w:rPr>
        <w:t>内容、评价方式、</w:t>
      </w:r>
      <w:r>
        <w:rPr>
          <w:rFonts w:hint="eastAsia" w:ascii="仿宋_GB2312" w:eastAsia="仿宋_GB2312"/>
          <w:sz w:val="32"/>
          <w:szCs w:val="32"/>
        </w:rPr>
        <w:t>评价范围、时间安排和工作</w:t>
      </w:r>
      <w:r>
        <w:rPr>
          <w:rFonts w:ascii="仿宋_GB2312" w:eastAsia="仿宋_GB2312"/>
          <w:sz w:val="32"/>
          <w:szCs w:val="32"/>
        </w:rPr>
        <w:t>步骤等</w:t>
      </w:r>
      <w:r>
        <w:rPr>
          <w:rFonts w:hint="eastAsia" w:ascii="仿宋_GB2312" w:eastAsia="仿宋_GB2312"/>
          <w:sz w:val="32"/>
          <w:szCs w:val="32"/>
        </w:rPr>
        <w:t>有关要求等，并布置给相关业务处室。</w:t>
      </w:r>
    </w:p>
    <w:p>
      <w:pPr>
        <w:spacing w:line="560" w:lineRule="exact"/>
        <w:ind w:firstLine="640" w:firstLineChars="200"/>
        <w:rPr>
          <w:rFonts w:hint="eastAsia" w:ascii="仿宋_GB2312" w:eastAsia="仿宋_GB2312"/>
          <w:sz w:val="32"/>
          <w:szCs w:val="32"/>
        </w:rPr>
      </w:pPr>
      <w:r>
        <w:rPr>
          <w:rFonts w:hint="eastAsia" w:ascii="仿宋_GB2312" w:eastAsia="仿宋_GB2312"/>
          <w:sz w:val="32"/>
          <w:szCs w:val="32"/>
          <w:lang w:val="en-US" w:eastAsia="zh-CN"/>
        </w:rPr>
        <w:t>（二）</w:t>
      </w:r>
      <w:r>
        <w:rPr>
          <w:rFonts w:hint="eastAsia" w:ascii="仿宋_GB2312" w:eastAsia="仿宋_GB2312"/>
          <w:sz w:val="32"/>
          <w:szCs w:val="32"/>
        </w:rPr>
        <w:t>相关业务处室根据项目支出绩效评价资料准备清单，结合评价对象实际情况收集项目资料，撰写自评报告。计财处在充分了解项目的基础上，对各处室上报的自评报告逐一进行审核，对自评得分情况进行调整，确保报告真实准确。</w:t>
      </w:r>
    </w:p>
    <w:p>
      <w:pPr>
        <w:spacing w:line="560" w:lineRule="exact"/>
        <w:ind w:firstLine="640" w:firstLineChars="200"/>
        <w:rPr>
          <w:rFonts w:hint="eastAsia" w:ascii="仿宋_GB2312" w:eastAsia="仿宋_GB2312"/>
          <w:sz w:val="32"/>
          <w:szCs w:val="32"/>
        </w:rPr>
      </w:pPr>
      <w:r>
        <w:rPr>
          <w:rFonts w:hint="eastAsia" w:ascii="仿宋_GB2312" w:eastAsia="仿宋_GB2312"/>
          <w:sz w:val="32"/>
          <w:szCs w:val="32"/>
          <w:lang w:val="en-US" w:eastAsia="zh-CN"/>
        </w:rPr>
        <w:t>（三）计财处委托第三方</w:t>
      </w:r>
      <w:r>
        <w:rPr>
          <w:rFonts w:hint="eastAsia" w:ascii="仿宋_GB2312" w:eastAsia="仿宋_GB2312"/>
          <w:sz w:val="32"/>
          <w:szCs w:val="32"/>
        </w:rPr>
        <w:t>评价工作组对</w:t>
      </w:r>
      <w:r>
        <w:rPr>
          <w:rFonts w:hint="eastAsia" w:ascii="仿宋_GB2312" w:hAnsi="仿宋_GB2312" w:eastAsia="仿宋_GB2312" w:cs="仿宋_GB2312"/>
          <w:bCs w:val="0"/>
          <w:color w:val="000000"/>
          <w:kern w:val="0"/>
          <w:sz w:val="32"/>
          <w:szCs w:val="32"/>
          <w:lang w:val="en-US" w:eastAsia="zh-CN"/>
        </w:rPr>
        <w:t>3个项目开展部门评价，出具绩效评价报告。评价组</w:t>
      </w:r>
      <w:r>
        <w:rPr>
          <w:rFonts w:hint="eastAsia" w:ascii="仿宋_GB2312" w:eastAsia="仿宋_GB2312"/>
          <w:sz w:val="32"/>
          <w:szCs w:val="32"/>
        </w:rPr>
        <w:t>对部门评价项目制定指标体系，明确指标权重和评分标准，组织</w:t>
      </w:r>
      <w:r>
        <w:rPr>
          <w:rFonts w:hint="eastAsia" w:ascii="仿宋_GB2312" w:eastAsia="仿宋_GB2312"/>
          <w:sz w:val="32"/>
          <w:szCs w:val="32"/>
          <w:lang w:val="en-US" w:eastAsia="zh-CN"/>
        </w:rPr>
        <w:t>专家</w:t>
      </w:r>
      <w:r>
        <w:rPr>
          <w:rFonts w:hint="eastAsia" w:ascii="仿宋_GB2312" w:eastAsia="仿宋_GB2312"/>
          <w:sz w:val="32"/>
          <w:szCs w:val="32"/>
        </w:rPr>
        <w:t>对“北京市乡村振兴专家咨询委员会专项经费”</w:t>
      </w:r>
      <w:r>
        <w:rPr>
          <w:rFonts w:hint="eastAsia" w:ascii="仿宋_GB2312" w:eastAsia="仿宋_GB2312"/>
          <w:sz w:val="32"/>
          <w:szCs w:val="32"/>
          <w:lang w:eastAsia="zh-CN"/>
        </w:rPr>
        <w:t>“北京郊区100个村集体经济运行状况跟踪监测项目”“北京市乡村空间高价值利用与乡村休闲旅游高质量发展”</w:t>
      </w:r>
      <w:r>
        <w:rPr>
          <w:rFonts w:hint="eastAsia" w:ascii="仿宋_GB2312" w:eastAsia="仿宋_GB2312"/>
          <w:sz w:val="32"/>
          <w:szCs w:val="32"/>
          <w:lang w:val="en-US" w:eastAsia="zh-CN"/>
        </w:rPr>
        <w:t>3个项目进行专家函评</w:t>
      </w:r>
      <w:r>
        <w:rPr>
          <w:rFonts w:hint="eastAsia" w:ascii="仿宋_GB2312" w:eastAsia="仿宋_GB2312"/>
          <w:sz w:val="32"/>
          <w:szCs w:val="32"/>
        </w:rPr>
        <w:t>，根据专家意见撰写项目支出绩效评价报告。</w:t>
      </w:r>
    </w:p>
    <w:p>
      <w:pPr>
        <w:spacing w:line="560" w:lineRule="exact"/>
        <w:ind w:firstLine="640" w:firstLineChars="200"/>
        <w:rPr>
          <w:rFonts w:hint="eastAsia" w:ascii="仿宋_GB2312" w:eastAsia="仿宋_GB2312"/>
          <w:sz w:val="32"/>
          <w:szCs w:val="32"/>
        </w:rPr>
      </w:pPr>
      <w:r>
        <w:rPr>
          <w:rFonts w:hint="eastAsia" w:ascii="仿宋_GB2312" w:eastAsia="仿宋_GB2312"/>
          <w:sz w:val="32"/>
          <w:szCs w:val="32"/>
          <w:lang w:eastAsia="zh-CN"/>
        </w:rPr>
        <w:t>（</w:t>
      </w:r>
      <w:r>
        <w:rPr>
          <w:rFonts w:hint="eastAsia" w:ascii="仿宋_GB2312" w:eastAsia="仿宋_GB2312"/>
          <w:sz w:val="32"/>
          <w:szCs w:val="32"/>
          <w:lang w:val="en-US" w:eastAsia="zh-CN"/>
        </w:rPr>
        <w:t>四</w:t>
      </w:r>
      <w:r>
        <w:rPr>
          <w:rFonts w:hint="eastAsia" w:ascii="仿宋_GB2312" w:eastAsia="仿宋_GB2312"/>
          <w:sz w:val="32"/>
          <w:szCs w:val="32"/>
          <w:lang w:eastAsia="zh-CN"/>
        </w:rPr>
        <w:t>）</w:t>
      </w:r>
      <w:r>
        <w:rPr>
          <w:rFonts w:hint="eastAsia" w:ascii="仿宋_GB2312" w:eastAsia="仿宋_GB2312"/>
          <w:sz w:val="32"/>
          <w:szCs w:val="32"/>
        </w:rPr>
        <w:t>市农研中心汇总自评结果，并根据自评工作开展情况，完成对部门绩效自评工作的总结。</w:t>
      </w:r>
    </w:p>
    <w:p>
      <w:pPr>
        <w:spacing w:line="560" w:lineRule="exact"/>
        <w:ind w:firstLine="640" w:firstLineChars="200"/>
        <w:outlineLvl w:val="0"/>
        <w:rPr>
          <w:rFonts w:hint="eastAsia" w:ascii="方正黑体_GBK" w:hAnsi="方正黑体_GBK" w:eastAsia="方正黑体_GBK" w:cs="方正黑体_GBK"/>
          <w:b/>
          <w:bCs/>
          <w:sz w:val="32"/>
          <w:szCs w:val="32"/>
        </w:rPr>
      </w:pPr>
      <w:r>
        <w:rPr>
          <w:rFonts w:hint="eastAsia" w:ascii="方正黑体_GBK" w:hAnsi="方正黑体_GBK" w:eastAsia="方正黑体_GBK" w:cs="方正黑体_GBK"/>
          <w:b w:val="0"/>
          <w:bCs w:val="0"/>
          <w:sz w:val="32"/>
          <w:szCs w:val="32"/>
          <w:lang w:val="en-US" w:eastAsia="zh-CN"/>
        </w:rPr>
        <w:t>七、</w:t>
      </w:r>
      <w:r>
        <w:rPr>
          <w:rFonts w:hint="eastAsia" w:ascii="方正黑体_GBK" w:hAnsi="方正黑体_GBK" w:eastAsia="方正黑体_GBK" w:cs="方正黑体_GBK"/>
          <w:b w:val="0"/>
          <w:bCs w:val="0"/>
          <w:sz w:val="32"/>
          <w:szCs w:val="32"/>
        </w:rPr>
        <w:t>工作亮点及成效</w:t>
      </w:r>
    </w:p>
    <w:p>
      <w:pPr>
        <w:spacing w:line="560" w:lineRule="exact"/>
        <w:ind w:firstLine="640" w:firstLineChars="200"/>
        <w:rPr>
          <w:rFonts w:hint="eastAsia" w:ascii="方正楷体_GBK" w:hAnsi="方正楷体_GBK" w:eastAsia="方正楷体_GBK" w:cs="方正楷体_GBK"/>
          <w:b w:val="0"/>
          <w:bCs w:val="0"/>
          <w:sz w:val="32"/>
          <w:szCs w:val="32"/>
        </w:rPr>
      </w:pPr>
      <w:r>
        <w:rPr>
          <w:rFonts w:hint="eastAsia" w:ascii="方正楷体_GBK" w:hAnsi="方正楷体_GBK" w:eastAsia="方正楷体_GBK" w:cs="方正楷体_GBK"/>
          <w:b w:val="0"/>
          <w:bCs w:val="0"/>
          <w:sz w:val="32"/>
          <w:szCs w:val="32"/>
          <w:lang w:eastAsia="zh-CN"/>
        </w:rPr>
        <w:t>（一）</w:t>
      </w:r>
      <w:r>
        <w:rPr>
          <w:rFonts w:hint="eastAsia" w:ascii="方正楷体_GBK" w:hAnsi="方正楷体_GBK" w:eastAsia="方正楷体_GBK" w:cs="方正楷体_GBK"/>
          <w:b w:val="0"/>
          <w:bCs w:val="0"/>
          <w:sz w:val="32"/>
          <w:szCs w:val="32"/>
        </w:rPr>
        <w:t>主要经验</w:t>
      </w:r>
    </w:p>
    <w:p>
      <w:pPr>
        <w:spacing w:line="560" w:lineRule="exact"/>
        <w:ind w:firstLine="640" w:firstLineChars="200"/>
        <w:rPr>
          <w:rFonts w:hint="eastAsia" w:ascii="仿宋_GB2312" w:eastAsia="仿宋_GB2312"/>
          <w:sz w:val="32"/>
          <w:szCs w:val="32"/>
        </w:rPr>
      </w:pPr>
      <w:r>
        <w:rPr>
          <w:rFonts w:hint="eastAsia" w:ascii="仿宋_GB2312" w:eastAsia="仿宋_GB2312"/>
          <w:sz w:val="32"/>
          <w:szCs w:val="32"/>
          <w:lang w:val="en-US" w:eastAsia="zh-CN"/>
        </w:rPr>
        <w:t>1.</w:t>
      </w:r>
      <w:r>
        <w:rPr>
          <w:rFonts w:hint="eastAsia" w:ascii="仿宋_GB2312" w:eastAsia="仿宋_GB2312"/>
          <w:sz w:val="32"/>
          <w:szCs w:val="32"/>
        </w:rPr>
        <w:t>领导高度重视，各部门积极配合。市农研中心绩效管理工作的开展，中心领导高度重视，主管领导亲自抓，分管领导具体抓，业务处室合力抓，</w:t>
      </w:r>
      <w:r>
        <w:rPr>
          <w:rFonts w:hint="eastAsia" w:ascii="仿宋_GB2312" w:eastAsia="仿宋_GB2312"/>
          <w:sz w:val="32"/>
          <w:szCs w:val="32"/>
          <w:lang w:val="en-US" w:eastAsia="zh-CN"/>
        </w:rPr>
        <w:t>明确绩效目标与指标体系，清晰界定提高工作效率，落实政策等目标，确保评价围绕核心职能与战略展开。在项目实施过程中，</w:t>
      </w:r>
      <w:r>
        <w:rPr>
          <w:rFonts w:hint="eastAsia" w:ascii="仿宋_GB2312" w:eastAsia="仿宋_GB2312"/>
          <w:sz w:val="32"/>
          <w:szCs w:val="32"/>
        </w:rPr>
        <w:t>审批绩效管理工作中重大事项，定期听取绩效管理工作情况汇报，督促绩效进展缓慢的项目，确保绩效目标顺利实现，按时完成。各相关处室在评价过程中认真整理项目资料，对项目绩效目标实际完成情况进行客观评价，实事求是撰写项目自评报告，保证部门绩效自评工作围绕核心职能与战略展开。</w:t>
      </w:r>
    </w:p>
    <w:p>
      <w:pPr>
        <w:spacing w:line="560" w:lineRule="exact"/>
        <w:ind w:firstLine="640" w:firstLineChars="200"/>
        <w:rPr>
          <w:rFonts w:hint="eastAsia" w:ascii="仿宋_GB2312" w:eastAsia="仿宋_GB2312"/>
          <w:sz w:val="32"/>
          <w:szCs w:val="32"/>
        </w:rPr>
      </w:pPr>
      <w:r>
        <w:rPr>
          <w:rFonts w:hint="eastAsia" w:ascii="仿宋_GB2312" w:eastAsia="仿宋_GB2312"/>
          <w:sz w:val="32"/>
          <w:szCs w:val="32"/>
          <w:lang w:val="en-US" w:eastAsia="zh-CN"/>
        </w:rPr>
        <w:t>2.</w:t>
      </w:r>
      <w:r>
        <w:rPr>
          <w:rFonts w:hint="eastAsia" w:ascii="仿宋_GB2312" w:eastAsia="仿宋_GB2312"/>
          <w:sz w:val="32"/>
          <w:szCs w:val="32"/>
        </w:rPr>
        <w:t>借助外部专业力量，深层剖析项目问题。市农研中心202</w:t>
      </w:r>
      <w:r>
        <w:rPr>
          <w:rFonts w:hint="eastAsia" w:ascii="仿宋_GB2312" w:eastAsia="仿宋_GB2312"/>
          <w:sz w:val="32"/>
          <w:szCs w:val="32"/>
          <w:lang w:val="en-US" w:eastAsia="zh-CN"/>
        </w:rPr>
        <w:t>4</w:t>
      </w:r>
      <w:r>
        <w:rPr>
          <w:rFonts w:hint="eastAsia" w:ascii="仿宋_GB2312" w:eastAsia="仿宋_GB2312"/>
          <w:sz w:val="32"/>
          <w:szCs w:val="32"/>
        </w:rPr>
        <w:t>年绩效自评工作，以市农研中心为主、第三方机构协助、专家评价为辅的方式开展，选取了3个项目进行部门评价，并组织</w:t>
      </w:r>
      <w:r>
        <w:rPr>
          <w:rFonts w:hint="eastAsia" w:ascii="仿宋_GB2312" w:eastAsia="仿宋_GB2312"/>
          <w:sz w:val="32"/>
          <w:szCs w:val="32"/>
          <w:lang w:val="en-US" w:eastAsia="zh-CN"/>
        </w:rPr>
        <w:t>专家对项目资料进行评审</w:t>
      </w:r>
      <w:r>
        <w:rPr>
          <w:rFonts w:hint="eastAsia" w:ascii="仿宋_GB2312" w:eastAsia="仿宋_GB2312"/>
          <w:sz w:val="32"/>
          <w:szCs w:val="32"/>
        </w:rPr>
        <w:t>。借助专家力量，分别从财务、管理、业务方面，全面审核项目资料，对项目进行深入研究探讨，查找项目实施过程中存在的问题，剖析问题产生的根源，提出合理化建议。</w:t>
      </w:r>
    </w:p>
    <w:p>
      <w:pPr>
        <w:spacing w:line="560" w:lineRule="exact"/>
        <w:ind w:firstLine="640" w:firstLineChars="200"/>
        <w:rPr>
          <w:rFonts w:hint="eastAsia"/>
          <w:lang w:eastAsia="zh-CN"/>
        </w:rPr>
      </w:pPr>
      <w:r>
        <w:rPr>
          <w:rFonts w:hint="eastAsia" w:ascii="仿宋_GB2312" w:eastAsia="仿宋_GB2312"/>
          <w:sz w:val="32"/>
          <w:szCs w:val="32"/>
          <w:lang w:val="en-US" w:eastAsia="zh-CN"/>
        </w:rPr>
        <w:t>3.严格</w:t>
      </w:r>
      <w:r>
        <w:rPr>
          <w:rFonts w:hint="default" w:ascii="仿宋_GB2312" w:hAnsi="Times New Roman" w:eastAsia="仿宋_GB2312" w:cs="Times New Roman"/>
          <w:kern w:val="2"/>
          <w:sz w:val="32"/>
          <w:szCs w:val="32"/>
          <w:lang w:bidi="ar-SA"/>
        </w:rPr>
        <w:t>执行项目绩效的事前评审</w:t>
      </w:r>
      <w:r>
        <w:rPr>
          <w:rFonts w:hint="eastAsia" w:ascii="仿宋_GB2312" w:hAnsi="Times New Roman" w:eastAsia="仿宋_GB2312" w:cs="Times New Roman"/>
          <w:kern w:val="2"/>
          <w:sz w:val="32"/>
          <w:szCs w:val="32"/>
          <w:lang w:val="en-US" w:eastAsia="zh-CN" w:bidi="ar-SA"/>
        </w:rPr>
        <w:t>工作</w:t>
      </w:r>
      <w:r>
        <w:rPr>
          <w:rFonts w:hint="default" w:ascii="仿宋_GB2312" w:hAnsi="Times New Roman" w:eastAsia="仿宋_GB2312" w:cs="Times New Roman"/>
          <w:kern w:val="2"/>
          <w:sz w:val="32"/>
          <w:szCs w:val="32"/>
          <w:lang w:bidi="ar-SA"/>
        </w:rPr>
        <w:t>，确保项目绩效目标的科学性</w:t>
      </w:r>
      <w:r>
        <w:rPr>
          <w:rFonts w:hint="eastAsia" w:ascii="仿宋_GB2312" w:hAnsi="Times New Roman" w:eastAsia="仿宋_GB2312" w:cs="Times New Roman"/>
          <w:kern w:val="2"/>
          <w:sz w:val="32"/>
          <w:szCs w:val="32"/>
          <w:lang w:val="en-US" w:eastAsia="zh-CN" w:bidi="ar-SA"/>
        </w:rPr>
        <w:t>和合理性</w:t>
      </w:r>
      <w:r>
        <w:rPr>
          <w:rFonts w:hint="default" w:ascii="仿宋_GB2312" w:hAnsi="Times New Roman" w:eastAsia="仿宋_GB2312" w:cs="Times New Roman"/>
          <w:kern w:val="2"/>
          <w:sz w:val="32"/>
          <w:szCs w:val="32"/>
          <w:lang w:bidi="ar-SA"/>
        </w:rPr>
        <w:t>。在2024年项目预算编制上报之前，市农研中心邀请专家对项目绩效目标的合理性进行了深入评审，并对二级指标进行了</w:t>
      </w:r>
      <w:r>
        <w:rPr>
          <w:rFonts w:hint="eastAsia" w:ascii="仿宋_GB2312" w:hAnsi="Times New Roman" w:eastAsia="仿宋_GB2312" w:cs="Times New Roman"/>
          <w:kern w:val="2"/>
          <w:sz w:val="32"/>
          <w:szCs w:val="32"/>
          <w:lang w:val="en-US" w:eastAsia="zh-CN" w:bidi="ar-SA"/>
        </w:rPr>
        <w:t>细化，保障市农研中心能够更准确地把握项目实施的关键环节，确保各项任务能够按照既定的绩效目标顺利推进</w:t>
      </w:r>
      <w:r>
        <w:rPr>
          <w:rFonts w:hint="default" w:ascii="仿宋_GB2312" w:hAnsi="Times New Roman" w:eastAsia="仿宋_GB2312" w:cs="Times New Roman"/>
          <w:kern w:val="2"/>
          <w:sz w:val="32"/>
          <w:szCs w:val="32"/>
          <w:lang w:bidi="ar-SA"/>
        </w:rPr>
        <w:t>。同时，对不合理的指标进行了调整，以确保所设定的</w:t>
      </w:r>
      <w:r>
        <w:rPr>
          <w:rFonts w:hint="eastAsia" w:ascii="仿宋_GB2312" w:hAnsi="Times New Roman" w:eastAsia="仿宋_GB2312" w:cs="Times New Roman"/>
          <w:kern w:val="2"/>
          <w:sz w:val="32"/>
          <w:szCs w:val="32"/>
          <w:lang w:val="en-US" w:eastAsia="zh-CN" w:bidi="ar-SA"/>
        </w:rPr>
        <w:t>绩效</w:t>
      </w:r>
      <w:r>
        <w:rPr>
          <w:rFonts w:hint="default" w:ascii="仿宋_GB2312" w:hAnsi="Times New Roman" w:eastAsia="仿宋_GB2312" w:cs="Times New Roman"/>
          <w:kern w:val="2"/>
          <w:sz w:val="32"/>
          <w:szCs w:val="32"/>
          <w:lang w:bidi="ar-SA"/>
        </w:rPr>
        <w:t>指标更加符合实际情况，便于执行。</w:t>
      </w:r>
    </w:p>
    <w:p>
      <w:pPr>
        <w:spacing w:line="560" w:lineRule="exact"/>
        <w:ind w:firstLine="640" w:firstLineChars="200"/>
        <w:rPr>
          <w:rFonts w:hint="eastAsia" w:ascii="方正楷体_GBK" w:hAnsi="方正楷体_GBK" w:eastAsia="方正楷体_GBK" w:cs="方正楷体_GBK"/>
          <w:b w:val="0"/>
          <w:bCs w:val="0"/>
          <w:sz w:val="32"/>
          <w:szCs w:val="32"/>
        </w:rPr>
      </w:pPr>
      <w:r>
        <w:rPr>
          <w:rFonts w:hint="eastAsia" w:ascii="方正楷体_GBK" w:hAnsi="方正楷体_GBK" w:eastAsia="方正楷体_GBK" w:cs="方正楷体_GBK"/>
          <w:b w:val="0"/>
          <w:bCs w:val="0"/>
          <w:sz w:val="32"/>
          <w:szCs w:val="32"/>
          <w:lang w:eastAsia="zh-CN"/>
        </w:rPr>
        <w:t>（</w:t>
      </w:r>
      <w:r>
        <w:rPr>
          <w:rFonts w:hint="eastAsia" w:ascii="方正楷体_GBK" w:hAnsi="方正楷体_GBK" w:eastAsia="方正楷体_GBK" w:cs="方正楷体_GBK"/>
          <w:b w:val="0"/>
          <w:bCs w:val="0"/>
          <w:sz w:val="32"/>
          <w:szCs w:val="32"/>
          <w:lang w:val="en-US" w:eastAsia="zh-CN"/>
        </w:rPr>
        <w:t>二</w:t>
      </w:r>
      <w:r>
        <w:rPr>
          <w:rFonts w:hint="eastAsia" w:ascii="方正楷体_GBK" w:hAnsi="方正楷体_GBK" w:eastAsia="方正楷体_GBK" w:cs="方正楷体_GBK"/>
          <w:b w:val="0"/>
          <w:bCs w:val="0"/>
          <w:sz w:val="32"/>
          <w:szCs w:val="32"/>
          <w:lang w:eastAsia="zh-CN"/>
        </w:rPr>
        <w:t>）</w:t>
      </w:r>
      <w:r>
        <w:rPr>
          <w:rFonts w:hint="eastAsia" w:ascii="方正楷体_GBK" w:hAnsi="方正楷体_GBK" w:eastAsia="方正楷体_GBK" w:cs="方正楷体_GBK"/>
          <w:b w:val="0"/>
          <w:bCs w:val="0"/>
          <w:sz w:val="32"/>
          <w:szCs w:val="32"/>
          <w:lang w:val="en-US" w:eastAsia="zh-CN"/>
        </w:rPr>
        <w:t>取得</w:t>
      </w:r>
      <w:r>
        <w:rPr>
          <w:rFonts w:hint="eastAsia" w:ascii="方正楷体_GBK" w:hAnsi="方正楷体_GBK" w:eastAsia="方正楷体_GBK" w:cs="方正楷体_GBK"/>
          <w:b w:val="0"/>
          <w:bCs w:val="0"/>
          <w:sz w:val="32"/>
          <w:szCs w:val="32"/>
        </w:rPr>
        <w:t>成效</w:t>
      </w:r>
    </w:p>
    <w:p>
      <w:pPr>
        <w:spacing w:line="560" w:lineRule="exact"/>
        <w:ind w:firstLine="640" w:firstLineChars="200"/>
        <w:rPr>
          <w:rFonts w:hint="eastAsia" w:ascii="仿宋_GB2312" w:eastAsia="仿宋_GB2312"/>
          <w:sz w:val="32"/>
          <w:szCs w:val="32"/>
        </w:rPr>
      </w:pPr>
      <w:r>
        <w:rPr>
          <w:rFonts w:hint="eastAsia" w:ascii="仿宋_GB2312" w:eastAsia="仿宋_GB2312"/>
          <w:sz w:val="32"/>
          <w:szCs w:val="32"/>
          <w:lang w:val="en-US" w:eastAsia="zh-CN"/>
        </w:rPr>
        <w:t>1.</w:t>
      </w:r>
      <w:r>
        <w:rPr>
          <w:rFonts w:hint="eastAsia" w:ascii="仿宋_GB2312" w:eastAsia="仿宋_GB2312"/>
          <w:sz w:val="32"/>
          <w:szCs w:val="32"/>
        </w:rPr>
        <w:t>市农研中心参照北京市财政局发布的《项目支出绩效评价指标体系框架（参考）》，组织各业务处室编制绩效目标申报表，尽可能做到绩效目标明确，绩效指标细化、量化、可衡量。截至202</w:t>
      </w:r>
      <w:r>
        <w:rPr>
          <w:rFonts w:hint="eastAsia" w:ascii="仿宋_GB2312" w:eastAsia="仿宋_GB2312"/>
          <w:sz w:val="32"/>
          <w:szCs w:val="32"/>
          <w:lang w:val="en-US" w:eastAsia="zh-CN"/>
        </w:rPr>
        <w:t>5</w:t>
      </w:r>
      <w:r>
        <w:rPr>
          <w:rFonts w:hint="eastAsia" w:ascii="仿宋_GB2312" w:eastAsia="仿宋_GB2312"/>
          <w:sz w:val="32"/>
          <w:szCs w:val="32"/>
        </w:rPr>
        <w:t>年</w:t>
      </w:r>
      <w:r>
        <w:rPr>
          <w:rFonts w:hint="eastAsia" w:ascii="仿宋_GB2312" w:eastAsia="仿宋_GB2312"/>
          <w:sz w:val="32"/>
          <w:szCs w:val="32"/>
          <w:lang w:val="en-US" w:eastAsia="zh-CN"/>
        </w:rPr>
        <w:t>5</w:t>
      </w:r>
      <w:r>
        <w:rPr>
          <w:rFonts w:hint="eastAsia" w:ascii="仿宋_GB2312" w:eastAsia="仿宋_GB2312"/>
          <w:sz w:val="32"/>
          <w:szCs w:val="32"/>
        </w:rPr>
        <w:t>月</w:t>
      </w:r>
      <w:r>
        <w:rPr>
          <w:rFonts w:hint="eastAsia" w:ascii="仿宋_GB2312" w:eastAsia="仿宋_GB2312"/>
          <w:sz w:val="32"/>
          <w:szCs w:val="32"/>
          <w:lang w:val="en-US" w:eastAsia="zh-CN"/>
        </w:rPr>
        <w:t>20</w:t>
      </w:r>
      <w:r>
        <w:rPr>
          <w:rFonts w:hint="eastAsia" w:ascii="仿宋_GB2312" w:eastAsia="仿宋_GB2312"/>
          <w:sz w:val="32"/>
          <w:szCs w:val="32"/>
        </w:rPr>
        <w:t>日，项目绩效目标在各处室的共同努力下均已全部完成，财政资金有效得到了很好的发挥。</w:t>
      </w:r>
    </w:p>
    <w:p>
      <w:pPr>
        <w:spacing w:line="560" w:lineRule="exact"/>
        <w:ind w:firstLine="640" w:firstLineChars="200"/>
        <w:rPr>
          <w:rFonts w:hint="eastAsia" w:ascii="仿宋_GB2312" w:eastAsia="仿宋_GB2312"/>
          <w:sz w:val="32"/>
          <w:szCs w:val="32"/>
        </w:rPr>
      </w:pPr>
      <w:r>
        <w:rPr>
          <w:rFonts w:hint="eastAsia" w:ascii="仿宋_GB2312" w:eastAsia="仿宋_GB2312"/>
          <w:sz w:val="32"/>
          <w:szCs w:val="32"/>
          <w:lang w:val="en-US" w:eastAsia="zh-CN"/>
        </w:rPr>
        <w:t>2.</w:t>
      </w:r>
      <w:r>
        <w:rPr>
          <w:rFonts w:hint="eastAsia" w:ascii="仿宋_GB2312" w:eastAsia="仿宋_GB2312"/>
          <w:sz w:val="32"/>
          <w:szCs w:val="32"/>
        </w:rPr>
        <w:t>市农研中心积极配合市财政局</w:t>
      </w:r>
      <w:r>
        <w:rPr>
          <w:rFonts w:hint="eastAsia" w:ascii="仿宋_GB2312" w:eastAsia="仿宋_GB2312"/>
          <w:sz w:val="32"/>
          <w:szCs w:val="32"/>
          <w:lang w:eastAsia="zh-CN"/>
        </w:rPr>
        <w:t>预算管理</w:t>
      </w:r>
      <w:r>
        <w:rPr>
          <w:rFonts w:hint="eastAsia" w:ascii="仿宋_GB2312" w:eastAsia="仿宋_GB2312"/>
          <w:sz w:val="32"/>
          <w:szCs w:val="32"/>
        </w:rPr>
        <w:t>等</w:t>
      </w:r>
      <w:bookmarkStart w:id="5" w:name="_GoBack"/>
      <w:bookmarkEnd w:id="5"/>
      <w:r>
        <w:rPr>
          <w:rFonts w:hint="eastAsia" w:ascii="仿宋_GB2312" w:eastAsia="仿宋_GB2312"/>
          <w:sz w:val="32"/>
          <w:szCs w:val="32"/>
        </w:rPr>
        <w:t>要求，结合各项目实际开展情况，对202</w:t>
      </w:r>
      <w:r>
        <w:rPr>
          <w:rFonts w:hint="eastAsia" w:ascii="仿宋_GB2312" w:eastAsia="仿宋_GB2312"/>
          <w:sz w:val="32"/>
          <w:szCs w:val="32"/>
          <w:lang w:val="en-US" w:eastAsia="zh-CN"/>
        </w:rPr>
        <w:t>4</w:t>
      </w:r>
      <w:r>
        <w:rPr>
          <w:rFonts w:hint="eastAsia" w:ascii="仿宋_GB2312" w:eastAsia="仿宋_GB2312"/>
          <w:sz w:val="32"/>
          <w:szCs w:val="32"/>
        </w:rPr>
        <w:t>年部分项目预算进行调整，并严格控制各项目经费支出。从绩效自评完成情况看，202</w:t>
      </w:r>
      <w:r>
        <w:rPr>
          <w:rFonts w:hint="eastAsia" w:ascii="仿宋_GB2312" w:eastAsia="仿宋_GB2312"/>
          <w:sz w:val="32"/>
          <w:szCs w:val="32"/>
          <w:lang w:val="en-US" w:eastAsia="zh-CN"/>
        </w:rPr>
        <w:t>4</w:t>
      </w:r>
      <w:r>
        <w:rPr>
          <w:rFonts w:hint="eastAsia" w:ascii="仿宋_GB2312" w:eastAsia="仿宋_GB2312"/>
          <w:sz w:val="32"/>
          <w:szCs w:val="32"/>
        </w:rPr>
        <w:t>年绩效自评项目成本均控制在预算范围内，未发生超预算支出情况，有效完成了成本控制的</w:t>
      </w:r>
      <w:r>
        <w:rPr>
          <w:rFonts w:hint="eastAsia" w:ascii="仿宋_GB2312" w:eastAsia="仿宋_GB2312"/>
          <w:sz w:val="32"/>
          <w:szCs w:val="32"/>
          <w:lang w:val="en-US" w:eastAsia="zh-CN"/>
        </w:rPr>
        <w:t>绩效</w:t>
      </w:r>
      <w:r>
        <w:rPr>
          <w:rFonts w:hint="eastAsia" w:ascii="仿宋_GB2312" w:eastAsia="仿宋_GB2312"/>
          <w:sz w:val="32"/>
          <w:szCs w:val="32"/>
        </w:rPr>
        <w:t>目标。</w:t>
      </w:r>
    </w:p>
    <w:p>
      <w:pPr>
        <w:spacing w:line="560" w:lineRule="exact"/>
        <w:ind w:firstLine="640" w:firstLineChars="200"/>
        <w:rPr>
          <w:rFonts w:hint="eastAsia" w:ascii="仿宋_GB2312" w:eastAsia="仿宋_GB2312"/>
          <w:sz w:val="32"/>
          <w:szCs w:val="32"/>
        </w:rPr>
      </w:pPr>
      <w:r>
        <w:rPr>
          <w:rFonts w:hint="eastAsia" w:ascii="仿宋_GB2312" w:eastAsia="仿宋_GB2312"/>
          <w:sz w:val="32"/>
          <w:szCs w:val="32"/>
          <w:lang w:val="en-US" w:eastAsia="zh-CN"/>
        </w:rPr>
        <w:t>3.</w:t>
      </w:r>
      <w:r>
        <w:rPr>
          <w:rFonts w:hint="eastAsia" w:ascii="仿宋_GB2312" w:eastAsia="仿宋_GB2312"/>
          <w:sz w:val="32"/>
          <w:szCs w:val="32"/>
        </w:rPr>
        <w:t>通过开展项目绩效管理工作，各业务处室不断提高绩效管理意识，财政资金绩效管理的理念更加深入人心，项目管理水平不断提高，预算资金使用效益得到有效提升，</w:t>
      </w:r>
      <w:r>
        <w:rPr>
          <w:rFonts w:hint="eastAsia" w:ascii="仿宋_GB2312" w:eastAsia="仿宋_GB2312"/>
          <w:sz w:val="32"/>
          <w:szCs w:val="32"/>
          <w:lang w:val="en-US" w:eastAsia="zh-CN"/>
        </w:rPr>
        <w:t>促进</w:t>
      </w:r>
      <w:r>
        <w:rPr>
          <w:rFonts w:hint="eastAsia" w:ascii="仿宋_GB2312" w:eastAsia="仿宋_GB2312"/>
          <w:sz w:val="32"/>
          <w:szCs w:val="32"/>
        </w:rPr>
        <w:t>市农研中心更好地开展农村战略研究和政策研究</w:t>
      </w:r>
      <w:r>
        <w:rPr>
          <w:rFonts w:hint="eastAsia" w:ascii="仿宋_GB2312" w:eastAsia="仿宋_GB2312"/>
          <w:sz w:val="32"/>
          <w:szCs w:val="32"/>
          <w:lang w:eastAsia="zh-CN"/>
        </w:rPr>
        <w:t>、</w:t>
      </w:r>
      <w:r>
        <w:rPr>
          <w:rFonts w:hint="eastAsia" w:ascii="仿宋_GB2312" w:eastAsia="仿宋_GB2312"/>
          <w:sz w:val="32"/>
          <w:szCs w:val="32"/>
        </w:rPr>
        <w:t>农业资源调查及农村改革与发展的相关研究等。</w:t>
      </w:r>
    </w:p>
    <w:p>
      <w:pPr>
        <w:keepNext w:val="0"/>
        <w:keepLines w:val="0"/>
        <w:pageBreakBefore w:val="0"/>
        <w:widowControl/>
        <w:numPr>
          <w:ilvl w:val="0"/>
          <w:numId w:val="0"/>
        </w:numPr>
        <w:kinsoku/>
        <w:wordWrap/>
        <w:overflowPunct/>
        <w:topLinePunct w:val="0"/>
        <w:autoSpaceDE/>
        <w:autoSpaceDN/>
        <w:bidi w:val="0"/>
        <w:adjustRightInd/>
        <w:snapToGrid/>
        <w:spacing w:line="240" w:lineRule="auto"/>
        <w:ind w:left="0" w:leftChars="0" w:firstLine="640" w:firstLineChars="200"/>
        <w:textAlignment w:val="auto"/>
        <w:outlineLvl w:val="9"/>
        <w:rPr>
          <w:rFonts w:hint="eastAsia" w:ascii="楷体_GB2312" w:hAnsi="Calibri" w:eastAsia="楷体_GB2312" w:cs="Times New Roman"/>
          <w:b w:val="0"/>
          <w:bCs w:val="0"/>
          <w:sz w:val="32"/>
          <w:szCs w:val="32"/>
        </w:rPr>
      </w:pPr>
      <w:r>
        <w:rPr>
          <w:rFonts w:hint="eastAsia" w:ascii="楷体_GB2312" w:hAnsi="Calibri" w:eastAsia="楷体_GB2312" w:cs="Times New Roman"/>
          <w:b w:val="0"/>
          <w:bCs w:val="0"/>
          <w:sz w:val="32"/>
          <w:szCs w:val="32"/>
        </w:rPr>
        <w:t>（</w:t>
      </w:r>
      <w:r>
        <w:rPr>
          <w:rFonts w:hint="eastAsia" w:ascii="楷体_GB2312" w:hAnsi="Calibri" w:eastAsia="楷体_GB2312" w:cs="Times New Roman"/>
          <w:b w:val="0"/>
          <w:bCs w:val="0"/>
          <w:sz w:val="32"/>
          <w:szCs w:val="32"/>
          <w:lang w:eastAsia="zh-CN"/>
        </w:rPr>
        <w:t>三</w:t>
      </w:r>
      <w:r>
        <w:rPr>
          <w:rFonts w:hint="eastAsia" w:ascii="楷体_GB2312" w:hAnsi="Calibri" w:eastAsia="楷体_GB2312" w:cs="Times New Roman"/>
          <w:b w:val="0"/>
          <w:bCs w:val="0"/>
          <w:sz w:val="32"/>
          <w:szCs w:val="32"/>
        </w:rPr>
        <w:t>）存在的问题</w:t>
      </w:r>
    </w:p>
    <w:p>
      <w:pPr>
        <w:numPr>
          <w:ilvl w:val="0"/>
          <w:numId w:val="0"/>
        </w:numPr>
        <w:spacing w:line="560" w:lineRule="exact"/>
        <w:ind w:firstLine="640" w:firstLineChars="200"/>
        <w:outlineLvl w:val="9"/>
        <w:rPr>
          <w:rFonts w:hint="eastAsia"/>
          <w:lang w:val="en-US" w:eastAsia="zh-CN"/>
        </w:rPr>
      </w:pPr>
      <w:r>
        <w:rPr>
          <w:rFonts w:hint="eastAsia" w:ascii="仿宋_GB2312" w:hAnsi="仿宋_GB2312" w:eastAsia="仿宋_GB2312" w:cs="仿宋_GB2312"/>
          <w:bCs w:val="0"/>
          <w:color w:val="000000"/>
          <w:kern w:val="0"/>
          <w:sz w:val="32"/>
          <w:szCs w:val="32"/>
          <w:highlight w:val="none"/>
          <w:lang w:val="en-US" w:eastAsia="zh-CN"/>
        </w:rPr>
        <w:t>1.个别项目绩效指标设置不够全面。部分项目对成本指标的估算不够精确，未充分考虑项目实施过程的各种因素，导致成本指标的总额与项目预算金额存在偏差；质量</w:t>
      </w:r>
      <w:r>
        <w:rPr>
          <w:rFonts w:hint="default" w:ascii="仿宋_GB2312" w:hAnsi="仿宋_GB2312" w:eastAsia="仿宋_GB2312" w:cs="仿宋_GB2312"/>
          <w:bCs w:val="0"/>
          <w:color w:val="000000"/>
          <w:kern w:val="0"/>
          <w:sz w:val="32"/>
          <w:szCs w:val="32"/>
          <w:lang w:bidi="ar-SA"/>
        </w:rPr>
        <w:t>指标仅限于“满足农研中心课题验收标准”的设定，内容过于单一，难以体现各类研究报告及阶段性成果所取得的创新突破</w:t>
      </w:r>
      <w:r>
        <w:rPr>
          <w:rFonts w:hint="eastAsia" w:ascii="仿宋_GB2312" w:hAnsi="仿宋_GB2312" w:eastAsia="仿宋_GB2312" w:cs="仿宋_GB2312"/>
          <w:bCs w:val="0"/>
          <w:color w:val="000000"/>
          <w:kern w:val="0"/>
          <w:sz w:val="32"/>
          <w:szCs w:val="32"/>
          <w:highlight w:val="none"/>
          <w:lang w:val="en-US" w:eastAsia="zh-CN"/>
        </w:rPr>
        <w:t>；</w:t>
      </w:r>
      <w:r>
        <w:rPr>
          <w:rFonts w:hint="default" w:ascii="仿宋_GB2312" w:hAnsi="仿宋_GB2312" w:eastAsia="仿宋_GB2312" w:cs="仿宋_GB2312"/>
          <w:color w:val="000000"/>
          <w:kern w:val="0"/>
          <w:sz w:val="32"/>
          <w:szCs w:val="32"/>
          <w:lang w:bidi="ar-SA"/>
        </w:rPr>
        <w:t>部分项目的效益指标设定缺乏</w:t>
      </w:r>
      <w:r>
        <w:rPr>
          <w:rFonts w:hint="eastAsia" w:ascii="仿宋_GB2312" w:hAnsi="仿宋_GB2312" w:eastAsia="仿宋_GB2312" w:cs="仿宋_GB2312"/>
          <w:color w:val="000000"/>
          <w:kern w:val="0"/>
          <w:sz w:val="32"/>
          <w:szCs w:val="32"/>
          <w:lang w:val="en-US" w:eastAsia="zh-CN" w:bidi="ar-SA"/>
        </w:rPr>
        <w:t>细</w:t>
      </w:r>
      <w:r>
        <w:rPr>
          <w:rFonts w:hint="default" w:ascii="仿宋_GB2312" w:hAnsi="仿宋_GB2312" w:eastAsia="仿宋_GB2312" w:cs="仿宋_GB2312"/>
          <w:color w:val="000000"/>
          <w:kern w:val="0"/>
          <w:sz w:val="32"/>
          <w:szCs w:val="32"/>
          <w:lang w:bidi="ar-SA"/>
        </w:rPr>
        <w:t>化和量化，无法精确地对效益指标的完成情况进行</w:t>
      </w:r>
      <w:r>
        <w:rPr>
          <w:rFonts w:hint="eastAsia" w:ascii="仿宋_GB2312" w:hAnsi="仿宋_GB2312" w:eastAsia="仿宋_GB2312" w:cs="仿宋_GB2312"/>
          <w:color w:val="000000"/>
          <w:kern w:val="0"/>
          <w:sz w:val="32"/>
          <w:szCs w:val="32"/>
          <w:lang w:val="en-US" w:eastAsia="zh-CN" w:bidi="ar-SA"/>
        </w:rPr>
        <w:t>考核</w:t>
      </w:r>
      <w:r>
        <w:rPr>
          <w:rFonts w:hint="default" w:ascii="仿宋_GB2312" w:hAnsi="仿宋_GB2312" w:eastAsia="仿宋_GB2312" w:cs="仿宋_GB2312"/>
          <w:color w:val="000000"/>
          <w:kern w:val="0"/>
          <w:sz w:val="32"/>
          <w:szCs w:val="32"/>
          <w:lang w:bidi="ar-SA"/>
        </w:rPr>
        <w:t>和评价。</w:t>
      </w:r>
    </w:p>
    <w:p>
      <w:pPr>
        <w:numPr>
          <w:ilvl w:val="0"/>
          <w:numId w:val="0"/>
        </w:numPr>
        <w:spacing w:line="560" w:lineRule="exact"/>
        <w:ind w:firstLine="640" w:firstLineChars="200"/>
        <w:outlineLvl w:val="9"/>
        <w:rPr>
          <w:rFonts w:hint="eastAsia" w:ascii="仿宋_GB2312" w:hAnsi="仿宋_GB2312" w:eastAsia="仿宋_GB2312" w:cs="仿宋_GB2312"/>
          <w:bCs w:val="0"/>
          <w:color w:val="000000"/>
          <w:kern w:val="0"/>
          <w:sz w:val="32"/>
          <w:szCs w:val="32"/>
          <w:highlight w:val="none"/>
          <w:lang w:val="en-US" w:eastAsia="zh-CN"/>
        </w:rPr>
      </w:pPr>
      <w:r>
        <w:rPr>
          <w:rFonts w:hint="eastAsia" w:ascii="仿宋_GB2312" w:hAnsi="仿宋_GB2312" w:eastAsia="仿宋_GB2312" w:cs="仿宋_GB2312"/>
          <w:bCs w:val="0"/>
          <w:color w:val="000000"/>
          <w:kern w:val="0"/>
          <w:sz w:val="32"/>
          <w:szCs w:val="32"/>
          <w:highlight w:val="none"/>
          <w:lang w:val="en-US" w:eastAsia="zh-CN"/>
        </w:rPr>
        <w:t>2.项目管理过程缺乏严谨性。</w:t>
      </w:r>
      <w:r>
        <w:rPr>
          <w:rFonts w:hint="default" w:ascii="仿宋_GB2312" w:hAnsi="仿宋_GB2312" w:eastAsia="仿宋_GB2312" w:cs="仿宋_GB2312"/>
          <w:bCs w:val="0"/>
          <w:color w:val="000000"/>
          <w:kern w:val="0"/>
          <w:sz w:val="32"/>
          <w:szCs w:val="32"/>
          <w:lang w:bidi="ar-SA"/>
        </w:rPr>
        <w:t>部分项目合同的签订时间晚于合同中约定的服务期限，导致合同出现倒签现象</w:t>
      </w:r>
      <w:r>
        <w:rPr>
          <w:rFonts w:hint="eastAsia" w:ascii="仿宋_GB2312" w:hAnsi="仿宋_GB2312" w:eastAsia="仿宋_GB2312" w:cs="仿宋_GB2312"/>
          <w:bCs w:val="0"/>
          <w:color w:val="000000"/>
          <w:kern w:val="0"/>
          <w:sz w:val="32"/>
          <w:szCs w:val="32"/>
          <w:highlight w:val="none"/>
          <w:lang w:val="en-US" w:eastAsia="zh-CN"/>
        </w:rPr>
        <w:t>；部分项目实施缺少具体的实施方案；个别课题委托单位选择不慎，中途取消。</w:t>
      </w:r>
    </w:p>
    <w:p>
      <w:pPr>
        <w:numPr>
          <w:ilvl w:val="0"/>
          <w:numId w:val="0"/>
        </w:numPr>
        <w:spacing w:line="560" w:lineRule="exact"/>
        <w:ind w:firstLine="640" w:firstLineChars="200"/>
        <w:outlineLvl w:val="9"/>
        <w:rPr>
          <w:rFonts w:hint="default"/>
          <w:lang w:val="en-US" w:eastAsia="zh-CN"/>
        </w:rPr>
      </w:pPr>
      <w:r>
        <w:rPr>
          <w:rFonts w:hint="eastAsia" w:ascii="仿宋_GB2312" w:hAnsi="仿宋_GB2312" w:eastAsia="仿宋_GB2312" w:cs="仿宋_GB2312"/>
          <w:bCs w:val="0"/>
          <w:color w:val="000000"/>
          <w:kern w:val="0"/>
          <w:sz w:val="32"/>
          <w:szCs w:val="32"/>
          <w:highlight w:val="none"/>
          <w:lang w:val="en-US" w:eastAsia="zh-CN"/>
        </w:rPr>
        <w:t>3.</w:t>
      </w:r>
      <w:r>
        <w:rPr>
          <w:rFonts w:hint="default" w:ascii="仿宋_GB2312" w:hAnsi="仿宋_GB2312" w:eastAsia="仿宋_GB2312" w:cs="仿宋_GB2312"/>
          <w:color w:val="000000"/>
          <w:kern w:val="0"/>
          <w:sz w:val="32"/>
          <w:szCs w:val="32"/>
          <w:lang w:bidi="ar-SA"/>
        </w:rPr>
        <w:t>项目绩效资料的呈现不够充分，缺乏足够的材料来支撑效益指标的实现情况。</w:t>
      </w:r>
      <w:r>
        <w:rPr>
          <w:rFonts w:hint="eastAsia" w:ascii="仿宋_GB2312" w:hAnsi="仿宋_GB2312" w:eastAsia="仿宋_GB2312" w:cs="仿宋_GB2312"/>
          <w:color w:val="000000"/>
          <w:kern w:val="0"/>
          <w:sz w:val="32"/>
          <w:szCs w:val="32"/>
          <w:lang w:val="en-US" w:eastAsia="zh-CN" w:bidi="ar-SA"/>
        </w:rPr>
        <w:t>部分</w:t>
      </w:r>
      <w:r>
        <w:rPr>
          <w:rFonts w:hint="default" w:ascii="仿宋_GB2312" w:hAnsi="仿宋_GB2312" w:eastAsia="仿宋_GB2312" w:cs="仿宋_GB2312"/>
          <w:color w:val="000000"/>
          <w:kern w:val="0"/>
          <w:sz w:val="32"/>
          <w:szCs w:val="32"/>
          <w:lang w:bidi="ar-SA"/>
        </w:rPr>
        <w:t>项目未进行满意度调查，或者进行的满意度调查统计分析样本量较小；同时，满意度调查对象与设定的</w:t>
      </w:r>
      <w:r>
        <w:rPr>
          <w:rFonts w:hint="eastAsia" w:ascii="仿宋_GB2312" w:hAnsi="仿宋_GB2312" w:eastAsia="仿宋_GB2312" w:cs="仿宋_GB2312"/>
          <w:color w:val="000000"/>
          <w:kern w:val="0"/>
          <w:sz w:val="32"/>
          <w:szCs w:val="32"/>
          <w:lang w:val="en-US" w:eastAsia="zh-CN" w:bidi="ar-SA"/>
        </w:rPr>
        <w:t>满意度</w:t>
      </w:r>
      <w:r>
        <w:rPr>
          <w:rFonts w:hint="default" w:ascii="仿宋_GB2312" w:hAnsi="仿宋_GB2312" w:eastAsia="仿宋_GB2312" w:cs="仿宋_GB2312"/>
          <w:color w:val="000000"/>
          <w:kern w:val="0"/>
          <w:sz w:val="32"/>
          <w:szCs w:val="32"/>
          <w:lang w:bidi="ar-SA"/>
        </w:rPr>
        <w:t>指标之间存在不匹配的问题。</w:t>
      </w:r>
    </w:p>
    <w:p>
      <w:pPr>
        <w:spacing w:line="240" w:lineRule="auto"/>
        <w:ind w:firstLine="640" w:firstLineChars="200"/>
        <w:outlineLvl w:val="0"/>
        <w:rPr>
          <w:rFonts w:hint="eastAsia" w:ascii="黑体" w:hAnsi="黑体" w:eastAsia="黑体" w:cs="黑体"/>
          <w:color w:val="000000"/>
          <w:kern w:val="0"/>
          <w:sz w:val="32"/>
          <w:szCs w:val="32"/>
        </w:rPr>
      </w:pPr>
      <w:bookmarkStart w:id="3" w:name="_Toc19720"/>
      <w:r>
        <w:rPr>
          <w:rFonts w:hint="eastAsia" w:ascii="黑体" w:hAnsi="黑体" w:eastAsia="黑体" w:cs="黑体"/>
          <w:color w:val="000000"/>
          <w:kern w:val="0"/>
          <w:sz w:val="32"/>
          <w:szCs w:val="32"/>
          <w:lang w:eastAsia="zh-CN"/>
        </w:rPr>
        <w:t>八</w:t>
      </w:r>
      <w:r>
        <w:rPr>
          <w:rFonts w:hint="eastAsia" w:ascii="黑体" w:hAnsi="黑体" w:eastAsia="黑体" w:cs="黑体"/>
          <w:color w:val="000000"/>
          <w:kern w:val="0"/>
          <w:sz w:val="32"/>
          <w:szCs w:val="32"/>
        </w:rPr>
        <w:t>、措施建议</w:t>
      </w:r>
      <w:bookmarkEnd w:id="3"/>
    </w:p>
    <w:p>
      <w:pPr>
        <w:numPr>
          <w:ilvl w:val="0"/>
          <w:numId w:val="0"/>
        </w:numPr>
        <w:spacing w:line="560" w:lineRule="exact"/>
        <w:ind w:firstLine="640" w:firstLineChars="200"/>
        <w:jc w:val="left"/>
        <w:outlineLvl w:val="9"/>
        <w:rPr>
          <w:rFonts w:hint="eastAsia"/>
          <w:lang w:eastAsia="zh-CN"/>
        </w:rPr>
      </w:pPr>
      <w:r>
        <w:rPr>
          <w:rFonts w:hint="eastAsia" w:ascii="仿宋_GB2312" w:hAnsi="仿宋_GB2312" w:eastAsia="仿宋_GB2312" w:cs="仿宋_GB2312"/>
          <w:bCs w:val="0"/>
          <w:color w:val="000000"/>
          <w:kern w:val="0"/>
          <w:sz w:val="32"/>
          <w:szCs w:val="32"/>
          <w:highlight w:val="none"/>
          <w:lang w:val="en-US" w:eastAsia="zh-CN"/>
        </w:rPr>
        <w:t>1.</w:t>
      </w:r>
      <w:r>
        <w:rPr>
          <w:rFonts w:hint="eastAsia" w:ascii="仿宋_GB2312" w:hAnsi="仿宋_GB2312" w:eastAsia="仿宋_GB2312" w:cs="仿宋_GB2312"/>
          <w:bCs w:val="0"/>
          <w:snapToGrid/>
          <w:color w:val="000000"/>
          <w:kern w:val="0"/>
          <w:sz w:val="32"/>
          <w:szCs w:val="32"/>
          <w:highlight w:val="none"/>
          <w:lang w:val="en-US" w:eastAsia="zh-CN"/>
        </w:rPr>
        <w:t>增强预算绩效管理意识。</w:t>
      </w:r>
      <w:r>
        <w:rPr>
          <w:rFonts w:hint="eastAsia" w:ascii="仿宋_GB2312" w:hAnsi="仿宋_GB2312" w:eastAsia="仿宋_GB2312" w:cs="仿宋_GB2312"/>
          <w:bCs w:val="0"/>
          <w:snapToGrid/>
          <w:color w:val="000000"/>
          <w:kern w:val="0"/>
          <w:sz w:val="32"/>
          <w:szCs w:val="32"/>
          <w:highlight w:val="none"/>
        </w:rPr>
        <w:t>加强对项目绩效指标设置的全面性和精确性的审核，充分考虑项目实施过程中的各种因素</w:t>
      </w:r>
      <w:r>
        <w:rPr>
          <w:rFonts w:hint="eastAsia" w:ascii="仿宋_GB2312" w:hAnsi="仿宋_GB2312" w:eastAsia="仿宋_GB2312" w:cs="仿宋_GB2312"/>
          <w:bCs w:val="0"/>
          <w:snapToGrid/>
          <w:color w:val="000000"/>
          <w:kern w:val="0"/>
          <w:sz w:val="32"/>
          <w:szCs w:val="32"/>
          <w:highlight w:val="none"/>
          <w:lang w:eastAsia="zh-CN"/>
        </w:rPr>
        <w:t>，明确具体的考核标准和评价方法，</w:t>
      </w:r>
      <w:r>
        <w:rPr>
          <w:rFonts w:hint="eastAsia" w:ascii="仿宋_GB2312" w:hAnsi="仿宋_GB2312" w:eastAsia="仿宋_GB2312" w:cs="仿宋_GB2312"/>
          <w:bCs w:val="0"/>
          <w:snapToGrid/>
          <w:color w:val="000000"/>
          <w:kern w:val="0"/>
          <w:sz w:val="32"/>
          <w:szCs w:val="32"/>
          <w:highlight w:val="none"/>
        </w:rPr>
        <w:t>确保各项指标能够真实反映项目的实际情况和预期效果</w:t>
      </w:r>
      <w:r>
        <w:rPr>
          <w:rFonts w:hint="eastAsia" w:ascii="仿宋_GB2312" w:hAnsi="仿宋_GB2312" w:eastAsia="仿宋_GB2312" w:cs="仿宋_GB2312"/>
          <w:bCs w:val="0"/>
          <w:color w:val="000000"/>
          <w:kern w:val="0"/>
          <w:sz w:val="32"/>
          <w:szCs w:val="32"/>
          <w:highlight w:val="none"/>
          <w:lang w:val="en-US" w:eastAsia="zh-CN"/>
        </w:rPr>
        <w:t>，</w:t>
      </w:r>
      <w:r>
        <w:rPr>
          <w:rFonts w:hint="default" w:ascii="仿宋_GB2312" w:hAnsi="仿宋_GB2312" w:eastAsia="仿宋_GB2312" w:cs="仿宋_GB2312"/>
          <w:color w:val="000000"/>
          <w:kern w:val="0"/>
          <w:sz w:val="32"/>
          <w:szCs w:val="32"/>
          <w:lang w:bidi="ar"/>
        </w:rPr>
        <w:t>增强各项指标的完整性和可衡量性。</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jc w:val="left"/>
        <w:textAlignment w:val="auto"/>
        <w:outlineLvl w:val="9"/>
        <w:rPr>
          <w:rFonts w:hint="eastAsia" w:ascii="仿宋_GB2312" w:hAnsi="仿宋_GB2312" w:eastAsia="仿宋_GB2312" w:cs="仿宋_GB2312"/>
          <w:bCs w:val="0"/>
          <w:color w:val="000000"/>
          <w:kern w:val="0"/>
          <w:sz w:val="32"/>
          <w:szCs w:val="32"/>
          <w:highlight w:val="none"/>
          <w:lang w:val="en-US" w:eastAsia="zh-CN"/>
        </w:rPr>
      </w:pPr>
      <w:r>
        <w:rPr>
          <w:rFonts w:hint="eastAsia" w:ascii="仿宋_GB2312" w:hAnsi="仿宋_GB2312" w:eastAsia="仿宋_GB2312" w:cs="仿宋_GB2312"/>
          <w:bCs w:val="0"/>
          <w:color w:val="000000"/>
          <w:kern w:val="0"/>
          <w:sz w:val="32"/>
          <w:szCs w:val="32"/>
          <w:highlight w:val="none"/>
          <w:lang w:val="en-US" w:eastAsia="zh-CN"/>
        </w:rPr>
        <w:t>2.加强对项目管理过程的监管力度。建立有效的监督和反馈机制，确保项目合同签订时间的合理性和合规性，避免出现合同倒签现象。此外，完善项目实施方案中对项目验收的内容，明确规定验收的时间节点、参与人员、流程步骤、验收标准及未按时验收的责任追究机制，将验收工作纳入项目全周期管理。</w:t>
      </w:r>
    </w:p>
    <w:p>
      <w:pPr>
        <w:widowControl w:val="0"/>
        <w:numPr>
          <w:ilvl w:val="0"/>
          <w:numId w:val="0"/>
        </w:numPr>
        <w:spacing w:line="560" w:lineRule="exact"/>
        <w:ind w:left="0" w:leftChars="0" w:firstLine="640" w:firstLineChars="200"/>
        <w:jc w:val="left"/>
        <w:outlineLvl w:val="9"/>
        <w:rPr>
          <w:rFonts w:hint="eastAsia" w:ascii="仿宋_GB2312" w:hAnsi="仿宋_GB2312" w:eastAsia="仿宋_GB2312" w:cs="仿宋_GB2312"/>
          <w:bCs w:val="0"/>
          <w:color w:val="000000"/>
          <w:kern w:val="0"/>
          <w:sz w:val="32"/>
          <w:szCs w:val="32"/>
          <w:highlight w:val="none"/>
          <w:lang w:val="en-US" w:eastAsia="zh-CN"/>
        </w:rPr>
      </w:pPr>
      <w:r>
        <w:rPr>
          <w:rFonts w:hint="eastAsia" w:ascii="仿宋_GB2312" w:hAnsi="仿宋_GB2312" w:eastAsia="仿宋_GB2312" w:cs="仿宋_GB2312"/>
          <w:bCs w:val="0"/>
          <w:color w:val="000000"/>
          <w:kern w:val="0"/>
          <w:sz w:val="32"/>
          <w:szCs w:val="32"/>
          <w:highlight w:val="none"/>
          <w:lang w:val="en-US" w:eastAsia="zh-CN"/>
        </w:rPr>
        <w:t>3.</w:t>
      </w:r>
      <w:r>
        <w:rPr>
          <w:rFonts w:hint="default" w:ascii="仿宋_GB2312" w:hAnsi="仿宋_GB2312" w:eastAsia="仿宋_GB2312" w:cs="仿宋_GB2312"/>
          <w:bCs w:val="0"/>
          <w:color w:val="000000"/>
          <w:kern w:val="0"/>
          <w:sz w:val="32"/>
          <w:szCs w:val="32"/>
          <w:lang w:bidi="ar-SA"/>
        </w:rPr>
        <w:t>提升项目绩效管理的科学性和有效性。构建和完善项目绩效监控体系，通过持续追踪项目进度，定期评估绩效目标的实现情况，确保项目按预期</w:t>
      </w:r>
      <w:r>
        <w:rPr>
          <w:rFonts w:hint="eastAsia" w:ascii="仿宋_GB2312" w:hAnsi="仿宋_GB2312" w:eastAsia="仿宋_GB2312" w:cs="仿宋_GB2312"/>
          <w:bCs w:val="0"/>
          <w:color w:val="000000"/>
          <w:kern w:val="0"/>
          <w:sz w:val="32"/>
          <w:szCs w:val="32"/>
          <w:lang w:val="en-US" w:eastAsia="zh-CN" w:bidi="ar-SA"/>
        </w:rPr>
        <w:t>目标实施</w:t>
      </w:r>
      <w:r>
        <w:rPr>
          <w:rFonts w:hint="default" w:ascii="仿宋_GB2312" w:hAnsi="仿宋_GB2312" w:eastAsia="仿宋_GB2312" w:cs="仿宋_GB2312"/>
          <w:bCs w:val="0"/>
          <w:color w:val="000000"/>
          <w:kern w:val="0"/>
          <w:sz w:val="32"/>
          <w:szCs w:val="32"/>
          <w:lang w:bidi="ar-SA"/>
        </w:rPr>
        <w:t>；强化项目绩效数据的收集与整理，以充分的资料为支撑，精确反映效益指标的达成状况；重视满意度调查，增加样本量并确保调查对象与既定指标相一致，从而更精确地掌握服务对象的需求和满意度。</w:t>
      </w:r>
    </w:p>
    <w:p>
      <w:pPr>
        <w:spacing w:line="240" w:lineRule="auto"/>
        <w:ind w:firstLine="640" w:firstLineChars="200"/>
        <w:outlineLvl w:val="0"/>
        <w:rPr>
          <w:rFonts w:hint="eastAsia" w:ascii="黑体" w:hAnsi="黑体" w:eastAsia="黑体" w:cs="黑体"/>
          <w:color w:val="000000"/>
          <w:kern w:val="0"/>
          <w:sz w:val="32"/>
          <w:szCs w:val="32"/>
        </w:rPr>
      </w:pPr>
      <w:bookmarkStart w:id="4" w:name="_Toc492"/>
      <w:r>
        <w:rPr>
          <w:rFonts w:hint="eastAsia" w:ascii="黑体" w:hAnsi="黑体" w:eastAsia="黑体" w:cs="黑体"/>
          <w:color w:val="000000"/>
          <w:kern w:val="0"/>
          <w:sz w:val="32"/>
          <w:szCs w:val="32"/>
          <w:lang w:eastAsia="zh-CN"/>
        </w:rPr>
        <w:t>九</w:t>
      </w:r>
      <w:r>
        <w:rPr>
          <w:rFonts w:hint="eastAsia" w:ascii="黑体" w:hAnsi="黑体" w:eastAsia="黑体" w:cs="黑体"/>
          <w:color w:val="000000"/>
          <w:kern w:val="0"/>
          <w:sz w:val="32"/>
          <w:szCs w:val="32"/>
        </w:rPr>
        <w:t>、附件</w:t>
      </w:r>
      <w:bookmarkEnd w:id="4"/>
    </w:p>
    <w:p>
      <w:pPr>
        <w:ind w:firstLine="640" w:firstLineChars="200"/>
        <w:rPr>
          <w:rFonts w:ascii="仿宋_GB2312" w:hAnsi="楷体" w:eastAsia="仿宋_GB2312"/>
          <w:bCs/>
          <w:kern w:val="0"/>
          <w:sz w:val="32"/>
          <w:szCs w:val="28"/>
        </w:rPr>
      </w:pPr>
      <w:r>
        <w:rPr>
          <w:rFonts w:hint="eastAsia" w:ascii="仿宋_GB2312" w:hAnsi="楷体" w:eastAsia="仿宋_GB2312"/>
          <w:bCs/>
          <w:kern w:val="0"/>
          <w:sz w:val="32"/>
          <w:szCs w:val="28"/>
        </w:rPr>
        <w:t>202</w:t>
      </w:r>
      <w:r>
        <w:rPr>
          <w:rFonts w:hint="eastAsia" w:ascii="仿宋_GB2312" w:hAnsi="楷体" w:eastAsia="仿宋_GB2312"/>
          <w:bCs/>
          <w:kern w:val="0"/>
          <w:sz w:val="32"/>
          <w:szCs w:val="28"/>
          <w:lang w:val="en-US" w:eastAsia="zh-CN"/>
        </w:rPr>
        <w:t>4</w:t>
      </w:r>
      <w:r>
        <w:rPr>
          <w:rFonts w:hint="eastAsia" w:ascii="仿宋_GB2312" w:hAnsi="楷体" w:eastAsia="仿宋_GB2312"/>
          <w:bCs/>
          <w:kern w:val="0"/>
          <w:sz w:val="32"/>
          <w:szCs w:val="28"/>
        </w:rPr>
        <w:t>年部门整体绩效评价指标体系评分表</w:t>
      </w:r>
    </w:p>
    <w:p>
      <w:pPr>
        <w:sectPr>
          <w:footerReference r:id="rId4" w:type="default"/>
          <w:pgSz w:w="11906" w:h="16838"/>
          <w:pgMar w:top="1440" w:right="1800" w:bottom="1440" w:left="1800" w:header="851" w:footer="992" w:gutter="0"/>
          <w:pgBorders>
            <w:top w:val="none" w:sz="0" w:space="0"/>
            <w:left w:val="none" w:sz="0" w:space="0"/>
            <w:bottom w:val="none" w:sz="0" w:space="0"/>
            <w:right w:val="none" w:sz="0" w:space="0"/>
          </w:pgBorders>
          <w:pgNumType w:start="1"/>
          <w:cols w:space="425" w:num="1"/>
          <w:docGrid w:type="lines" w:linePitch="312" w:charSpace="0"/>
        </w:sectPr>
      </w:pPr>
    </w:p>
    <w:p>
      <w:pPr>
        <w:rPr>
          <w:rFonts w:ascii="黑体" w:hAnsi="黑体" w:eastAsia="黑体"/>
          <w:sz w:val="32"/>
          <w:szCs w:val="32"/>
        </w:rPr>
      </w:pPr>
      <w:r>
        <w:rPr>
          <w:rFonts w:hint="eastAsia" w:ascii="黑体" w:hAnsi="黑体" w:eastAsia="黑体"/>
          <w:sz w:val="32"/>
          <w:szCs w:val="32"/>
        </w:rPr>
        <w:t>附件</w:t>
      </w:r>
    </w:p>
    <w:p>
      <w:pPr>
        <w:spacing w:line="600" w:lineRule="exact"/>
        <w:jc w:val="center"/>
        <w:rPr>
          <w:rFonts w:hint="eastAsia" w:ascii="方正楷体_GBK" w:hAnsi="方正楷体_GBK" w:eastAsia="方正楷体_GBK" w:cs="方正楷体_GBK"/>
          <w:color w:val="000000"/>
          <w:kern w:val="0"/>
          <w:sz w:val="32"/>
          <w:szCs w:val="32"/>
        </w:rPr>
      </w:pPr>
      <w:r>
        <w:rPr>
          <w:rFonts w:hint="eastAsia" w:ascii="方正楷体_GBK" w:hAnsi="方正楷体_GBK" w:eastAsia="方正楷体_GBK" w:cs="方正楷体_GBK"/>
          <w:color w:val="000000"/>
          <w:kern w:val="0"/>
          <w:sz w:val="44"/>
          <w:szCs w:val="44"/>
        </w:rPr>
        <w:t>202</w:t>
      </w:r>
      <w:r>
        <w:rPr>
          <w:rFonts w:hint="eastAsia" w:ascii="方正楷体_GBK" w:hAnsi="方正楷体_GBK" w:eastAsia="方正楷体_GBK" w:cs="方正楷体_GBK"/>
          <w:color w:val="000000"/>
          <w:kern w:val="0"/>
          <w:sz w:val="44"/>
          <w:szCs w:val="44"/>
          <w:lang w:val="en-US" w:eastAsia="zh-CN"/>
        </w:rPr>
        <w:t>4</w:t>
      </w:r>
      <w:r>
        <w:rPr>
          <w:rFonts w:hint="eastAsia" w:ascii="方正楷体_GBK" w:hAnsi="方正楷体_GBK" w:eastAsia="方正楷体_GBK" w:cs="方正楷体_GBK"/>
          <w:color w:val="000000"/>
          <w:kern w:val="0"/>
          <w:sz w:val="44"/>
          <w:szCs w:val="44"/>
        </w:rPr>
        <w:t>年部门整体绩效评价指标体系评分表</w:t>
      </w:r>
    </w:p>
    <w:tbl>
      <w:tblPr>
        <w:tblStyle w:val="11"/>
        <w:tblW w:w="4998" w:type="pct"/>
        <w:tblInd w:w="0" w:type="dxa"/>
        <w:tblLayout w:type="autofit"/>
        <w:tblCellMar>
          <w:top w:w="0" w:type="dxa"/>
          <w:left w:w="108" w:type="dxa"/>
          <w:bottom w:w="0" w:type="dxa"/>
          <w:right w:w="108" w:type="dxa"/>
        </w:tblCellMar>
      </w:tblPr>
      <w:tblGrid>
        <w:gridCol w:w="3736"/>
        <w:gridCol w:w="1571"/>
        <w:gridCol w:w="2501"/>
        <w:gridCol w:w="2501"/>
        <w:gridCol w:w="1880"/>
        <w:gridCol w:w="950"/>
        <w:gridCol w:w="1029"/>
      </w:tblGrid>
      <w:tr>
        <w:tblPrEx>
          <w:tblCellMar>
            <w:top w:w="0" w:type="dxa"/>
            <w:left w:w="108" w:type="dxa"/>
            <w:bottom w:w="0" w:type="dxa"/>
            <w:right w:w="108" w:type="dxa"/>
          </w:tblCellMar>
        </w:tblPrEx>
        <w:trPr>
          <w:trHeight w:val="978" w:hRule="atLeast"/>
        </w:trPr>
        <w:tc>
          <w:tcPr>
            <w:tcW w:w="1318" w:type="pct"/>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Theme="minorEastAsia" w:hAnsiTheme="minorEastAsia" w:eastAsiaTheme="minorEastAsia" w:cstheme="minorEastAsia"/>
                <w:color w:val="000000"/>
                <w:kern w:val="0"/>
                <w:sz w:val="20"/>
                <w:szCs w:val="20"/>
              </w:rPr>
            </w:pPr>
            <w:r>
              <w:rPr>
                <w:rFonts w:hint="eastAsia" w:asciiTheme="minorEastAsia" w:hAnsiTheme="minorEastAsia" w:eastAsiaTheme="minorEastAsia" w:cstheme="minorEastAsia"/>
                <w:color w:val="000000"/>
                <w:kern w:val="0"/>
                <w:sz w:val="20"/>
                <w:szCs w:val="20"/>
              </w:rPr>
              <w:t>一级指标　</w:t>
            </w:r>
          </w:p>
        </w:tc>
        <w:tc>
          <w:tcPr>
            <w:tcW w:w="554" w:type="pct"/>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Theme="minorEastAsia" w:hAnsiTheme="minorEastAsia" w:eastAsiaTheme="minorEastAsia" w:cstheme="minorEastAsia"/>
                <w:color w:val="000000"/>
                <w:kern w:val="0"/>
                <w:sz w:val="20"/>
                <w:szCs w:val="20"/>
              </w:rPr>
            </w:pPr>
            <w:r>
              <w:rPr>
                <w:rFonts w:hint="eastAsia" w:asciiTheme="minorEastAsia" w:hAnsiTheme="minorEastAsia" w:eastAsiaTheme="minorEastAsia" w:cstheme="minorEastAsia"/>
                <w:color w:val="000000"/>
                <w:kern w:val="0"/>
                <w:sz w:val="20"/>
                <w:szCs w:val="20"/>
              </w:rPr>
              <w:t>二级指标　</w:t>
            </w:r>
          </w:p>
        </w:tc>
        <w:tc>
          <w:tcPr>
            <w:tcW w:w="882" w:type="pct"/>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Theme="minorEastAsia" w:hAnsiTheme="minorEastAsia" w:eastAsiaTheme="minorEastAsia" w:cstheme="minorEastAsia"/>
                <w:color w:val="000000"/>
                <w:kern w:val="0"/>
                <w:sz w:val="20"/>
                <w:szCs w:val="20"/>
              </w:rPr>
            </w:pPr>
            <w:r>
              <w:rPr>
                <w:rFonts w:hint="eastAsia" w:asciiTheme="minorEastAsia" w:hAnsiTheme="minorEastAsia" w:eastAsiaTheme="minorEastAsia" w:cstheme="minorEastAsia"/>
                <w:color w:val="000000"/>
                <w:kern w:val="0"/>
                <w:sz w:val="20"/>
                <w:szCs w:val="20"/>
              </w:rPr>
              <w:t>预算数（万元）</w:t>
            </w:r>
          </w:p>
        </w:tc>
        <w:tc>
          <w:tcPr>
            <w:tcW w:w="882" w:type="pct"/>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Theme="minorEastAsia" w:hAnsiTheme="minorEastAsia" w:eastAsiaTheme="minorEastAsia" w:cstheme="minorEastAsia"/>
                <w:color w:val="000000"/>
                <w:kern w:val="0"/>
                <w:sz w:val="20"/>
                <w:szCs w:val="20"/>
              </w:rPr>
            </w:pPr>
            <w:r>
              <w:rPr>
                <w:rFonts w:hint="eastAsia" w:asciiTheme="minorEastAsia" w:hAnsiTheme="minorEastAsia" w:eastAsiaTheme="minorEastAsia" w:cstheme="minorEastAsia"/>
                <w:color w:val="000000"/>
                <w:kern w:val="0"/>
                <w:sz w:val="20"/>
                <w:szCs w:val="20"/>
              </w:rPr>
              <w:t>执行数（万元）</w:t>
            </w:r>
          </w:p>
        </w:tc>
        <w:tc>
          <w:tcPr>
            <w:tcW w:w="663" w:type="pct"/>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Theme="minorEastAsia" w:hAnsiTheme="minorEastAsia" w:eastAsiaTheme="minorEastAsia" w:cstheme="minorEastAsia"/>
                <w:color w:val="000000"/>
                <w:kern w:val="0"/>
                <w:sz w:val="20"/>
                <w:szCs w:val="20"/>
              </w:rPr>
            </w:pPr>
            <w:r>
              <w:rPr>
                <w:rFonts w:hint="eastAsia" w:asciiTheme="minorEastAsia" w:hAnsiTheme="minorEastAsia" w:eastAsiaTheme="minorEastAsia" w:cstheme="minorEastAsia"/>
                <w:color w:val="000000"/>
                <w:kern w:val="0"/>
                <w:sz w:val="20"/>
                <w:szCs w:val="20"/>
              </w:rPr>
              <w:t>预算执行率</w:t>
            </w:r>
          </w:p>
        </w:tc>
        <w:tc>
          <w:tcPr>
            <w:tcW w:w="335" w:type="pct"/>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Theme="minorEastAsia" w:hAnsiTheme="minorEastAsia" w:eastAsiaTheme="minorEastAsia" w:cstheme="minorEastAsia"/>
                <w:color w:val="000000"/>
                <w:kern w:val="0"/>
                <w:sz w:val="20"/>
                <w:szCs w:val="20"/>
              </w:rPr>
            </w:pPr>
            <w:r>
              <w:rPr>
                <w:rFonts w:hint="eastAsia" w:asciiTheme="minorEastAsia" w:hAnsiTheme="minorEastAsia" w:eastAsiaTheme="minorEastAsia" w:cstheme="minorEastAsia"/>
                <w:color w:val="000000"/>
                <w:kern w:val="0"/>
                <w:sz w:val="20"/>
                <w:szCs w:val="20"/>
              </w:rPr>
              <w:t>分值</w:t>
            </w:r>
          </w:p>
        </w:tc>
        <w:tc>
          <w:tcPr>
            <w:tcW w:w="363" w:type="pct"/>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Theme="minorEastAsia" w:hAnsiTheme="minorEastAsia" w:eastAsiaTheme="minorEastAsia" w:cstheme="minorEastAsia"/>
                <w:color w:val="000000"/>
                <w:kern w:val="0"/>
                <w:sz w:val="20"/>
                <w:szCs w:val="20"/>
              </w:rPr>
            </w:pPr>
            <w:r>
              <w:rPr>
                <w:rFonts w:hint="eastAsia" w:asciiTheme="minorEastAsia" w:hAnsiTheme="minorEastAsia" w:eastAsiaTheme="minorEastAsia" w:cstheme="minorEastAsia"/>
                <w:color w:val="000000"/>
                <w:kern w:val="0"/>
                <w:sz w:val="20"/>
                <w:szCs w:val="20"/>
              </w:rPr>
              <w:t>得分</w:t>
            </w:r>
          </w:p>
        </w:tc>
      </w:tr>
      <w:tr>
        <w:tblPrEx>
          <w:tblCellMar>
            <w:top w:w="0" w:type="dxa"/>
            <w:left w:w="108" w:type="dxa"/>
            <w:bottom w:w="0" w:type="dxa"/>
            <w:right w:w="108" w:type="dxa"/>
          </w:tblCellMar>
        </w:tblPrEx>
        <w:trPr>
          <w:trHeight w:val="1304" w:hRule="atLeast"/>
        </w:trPr>
        <w:tc>
          <w:tcPr>
            <w:tcW w:w="1318" w:type="pct"/>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Theme="minorEastAsia" w:hAnsiTheme="minorEastAsia" w:eastAsiaTheme="minorEastAsia" w:cstheme="minorEastAsia"/>
                <w:color w:val="000000"/>
                <w:kern w:val="0"/>
                <w:sz w:val="20"/>
                <w:szCs w:val="20"/>
              </w:rPr>
            </w:pPr>
            <w:r>
              <w:rPr>
                <w:rFonts w:hint="eastAsia" w:asciiTheme="minorEastAsia" w:hAnsiTheme="minorEastAsia" w:eastAsiaTheme="minorEastAsia" w:cstheme="minorEastAsia"/>
                <w:color w:val="000000"/>
                <w:kern w:val="0"/>
                <w:sz w:val="20"/>
                <w:szCs w:val="20"/>
              </w:rPr>
              <w:t>当年预算执行情况（20）</w:t>
            </w:r>
          </w:p>
        </w:tc>
        <w:tc>
          <w:tcPr>
            <w:tcW w:w="554" w:type="pct"/>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Theme="minorEastAsia" w:hAnsiTheme="minorEastAsia" w:eastAsiaTheme="minorEastAsia" w:cstheme="minorEastAsia"/>
                <w:color w:val="000000"/>
                <w:kern w:val="0"/>
                <w:sz w:val="20"/>
                <w:szCs w:val="20"/>
              </w:rPr>
            </w:pPr>
            <w:r>
              <w:rPr>
                <w:rFonts w:hint="eastAsia" w:asciiTheme="minorEastAsia" w:hAnsiTheme="minorEastAsia" w:eastAsiaTheme="minorEastAsia" w:cstheme="minorEastAsia"/>
                <w:color w:val="000000"/>
                <w:kern w:val="0"/>
                <w:sz w:val="20"/>
                <w:szCs w:val="20"/>
              </w:rPr>
              <w:t>资金总体</w:t>
            </w:r>
          </w:p>
        </w:tc>
        <w:tc>
          <w:tcPr>
            <w:tcW w:w="882" w:type="pct"/>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Theme="minorEastAsia" w:hAnsiTheme="minorEastAsia" w:eastAsiaTheme="minorEastAsia" w:cstheme="minorEastAsia"/>
                <w:color w:val="000000"/>
                <w:kern w:val="0"/>
                <w:sz w:val="20"/>
                <w:szCs w:val="20"/>
                <w:highlight w:val="none"/>
                <w:lang w:val="en-US" w:eastAsia="zh-CN"/>
              </w:rPr>
            </w:pPr>
            <w:r>
              <w:rPr>
                <w:rFonts w:hint="eastAsia" w:asciiTheme="minorEastAsia" w:hAnsiTheme="minorEastAsia" w:eastAsiaTheme="minorEastAsia" w:cstheme="minorEastAsia"/>
                <w:color w:val="000000"/>
                <w:kern w:val="0"/>
                <w:sz w:val="20"/>
                <w:szCs w:val="20"/>
                <w:highlight w:val="none"/>
              </w:rPr>
              <w:t>5,573.01</w:t>
            </w:r>
          </w:p>
        </w:tc>
        <w:tc>
          <w:tcPr>
            <w:tcW w:w="882" w:type="pct"/>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Theme="minorEastAsia" w:hAnsiTheme="minorEastAsia" w:eastAsiaTheme="minorEastAsia" w:cstheme="minorEastAsia"/>
                <w:color w:val="000000"/>
                <w:kern w:val="0"/>
                <w:sz w:val="20"/>
                <w:szCs w:val="20"/>
                <w:highlight w:val="none"/>
                <w:lang w:val="en-US" w:eastAsia="zh-CN"/>
              </w:rPr>
            </w:pPr>
            <w:r>
              <w:rPr>
                <w:rFonts w:hint="eastAsia" w:asciiTheme="minorEastAsia" w:hAnsiTheme="minorEastAsia" w:eastAsiaTheme="minorEastAsia" w:cstheme="minorEastAsia"/>
                <w:color w:val="000000"/>
                <w:kern w:val="0"/>
                <w:sz w:val="20"/>
                <w:szCs w:val="20"/>
                <w:highlight w:val="none"/>
              </w:rPr>
              <w:t>4,961.5</w:t>
            </w:r>
            <w:r>
              <w:rPr>
                <w:rFonts w:hint="eastAsia" w:asciiTheme="minorEastAsia" w:hAnsiTheme="minorEastAsia" w:eastAsiaTheme="minorEastAsia" w:cstheme="minorEastAsia"/>
                <w:color w:val="000000"/>
                <w:kern w:val="0"/>
                <w:sz w:val="20"/>
                <w:szCs w:val="20"/>
                <w:highlight w:val="none"/>
                <w:lang w:val="en-US" w:eastAsia="zh-CN"/>
              </w:rPr>
              <w:t>2</w:t>
            </w:r>
          </w:p>
        </w:tc>
        <w:tc>
          <w:tcPr>
            <w:tcW w:w="663" w:type="pct"/>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Theme="minorEastAsia" w:hAnsiTheme="minorEastAsia" w:eastAsiaTheme="minorEastAsia" w:cstheme="minorEastAsia"/>
                <w:color w:val="000000"/>
                <w:kern w:val="0"/>
                <w:sz w:val="20"/>
                <w:szCs w:val="20"/>
                <w:lang w:val="en-US" w:eastAsia="zh-CN"/>
              </w:rPr>
            </w:pPr>
            <w:r>
              <w:rPr>
                <w:rFonts w:hint="eastAsia" w:asciiTheme="minorEastAsia" w:hAnsiTheme="minorEastAsia" w:eastAsiaTheme="minorEastAsia" w:cstheme="minorEastAsia"/>
                <w:color w:val="000000"/>
                <w:kern w:val="0"/>
                <w:sz w:val="20"/>
                <w:szCs w:val="20"/>
              </w:rPr>
              <w:t>89.03%</w:t>
            </w:r>
          </w:p>
        </w:tc>
        <w:tc>
          <w:tcPr>
            <w:tcW w:w="335" w:type="pct"/>
            <w:vMerge w:val="restart"/>
            <w:tcBorders>
              <w:top w:val="single" w:color="auto" w:sz="4" w:space="0"/>
              <w:left w:val="single" w:color="auto" w:sz="4" w:space="0"/>
              <w:bottom w:val="single" w:color="auto" w:sz="4" w:space="0"/>
              <w:right w:val="single" w:color="auto" w:sz="4" w:space="0"/>
            </w:tcBorders>
            <w:noWrap/>
            <w:vAlign w:val="center"/>
          </w:tcPr>
          <w:p>
            <w:pPr>
              <w:widowControl/>
              <w:jc w:val="center"/>
              <w:rPr>
                <w:rFonts w:hint="default" w:asciiTheme="minorEastAsia" w:hAnsiTheme="minorEastAsia" w:eastAsiaTheme="minorEastAsia" w:cstheme="minorEastAsia"/>
                <w:color w:val="000000"/>
                <w:kern w:val="0"/>
                <w:sz w:val="20"/>
                <w:szCs w:val="20"/>
                <w:lang w:val="en-US" w:eastAsia="zh-CN"/>
              </w:rPr>
            </w:pPr>
            <w:r>
              <w:rPr>
                <w:rFonts w:hint="eastAsia" w:asciiTheme="minorEastAsia" w:hAnsiTheme="minorEastAsia" w:eastAsiaTheme="minorEastAsia" w:cstheme="minorEastAsia"/>
                <w:color w:val="000000"/>
                <w:kern w:val="0"/>
                <w:sz w:val="20"/>
                <w:szCs w:val="20"/>
              </w:rPr>
              <w:t>20</w:t>
            </w:r>
          </w:p>
        </w:tc>
        <w:tc>
          <w:tcPr>
            <w:tcW w:w="363" w:type="pct"/>
            <w:vMerge w:val="restart"/>
            <w:tcBorders>
              <w:top w:val="single" w:color="auto" w:sz="4" w:space="0"/>
              <w:left w:val="single" w:color="auto" w:sz="4" w:space="0"/>
              <w:bottom w:val="single" w:color="auto" w:sz="4" w:space="0"/>
              <w:right w:val="single" w:color="auto" w:sz="4" w:space="0"/>
            </w:tcBorders>
            <w:noWrap/>
            <w:vAlign w:val="center"/>
          </w:tcPr>
          <w:p>
            <w:pPr>
              <w:widowControl/>
              <w:jc w:val="center"/>
              <w:rPr>
                <w:rFonts w:hint="default" w:asciiTheme="minorEastAsia" w:hAnsiTheme="minorEastAsia" w:eastAsiaTheme="minorEastAsia" w:cstheme="minorEastAsia"/>
                <w:color w:val="000000"/>
                <w:kern w:val="0"/>
                <w:sz w:val="20"/>
                <w:szCs w:val="20"/>
                <w:lang w:val="en-US" w:eastAsia="zh-CN"/>
              </w:rPr>
            </w:pPr>
            <w:r>
              <w:rPr>
                <w:rFonts w:hint="eastAsia" w:asciiTheme="minorEastAsia" w:hAnsiTheme="minorEastAsia" w:eastAsiaTheme="minorEastAsia" w:cstheme="minorEastAsia"/>
                <w:color w:val="000000"/>
                <w:kern w:val="0"/>
                <w:sz w:val="20"/>
                <w:szCs w:val="20"/>
                <w:lang w:val="en-US" w:eastAsia="zh-CN"/>
              </w:rPr>
              <w:t>17.81</w:t>
            </w:r>
          </w:p>
        </w:tc>
      </w:tr>
      <w:tr>
        <w:tblPrEx>
          <w:tblCellMar>
            <w:top w:w="0" w:type="dxa"/>
            <w:left w:w="108" w:type="dxa"/>
            <w:bottom w:w="0" w:type="dxa"/>
            <w:right w:w="108" w:type="dxa"/>
          </w:tblCellMar>
        </w:tblPrEx>
        <w:trPr>
          <w:trHeight w:val="1304" w:hRule="atLeast"/>
        </w:trPr>
        <w:tc>
          <w:tcPr>
            <w:tcW w:w="131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Theme="minorEastAsia" w:hAnsiTheme="minorEastAsia" w:eastAsiaTheme="minorEastAsia" w:cstheme="minorEastAsia"/>
                <w:color w:val="000000"/>
                <w:kern w:val="0"/>
                <w:sz w:val="20"/>
                <w:szCs w:val="20"/>
              </w:rPr>
            </w:pPr>
          </w:p>
        </w:tc>
        <w:tc>
          <w:tcPr>
            <w:tcW w:w="554" w:type="pct"/>
            <w:tcBorders>
              <w:top w:val="single" w:color="auto" w:sz="4" w:space="0"/>
              <w:left w:val="single" w:color="auto" w:sz="4" w:space="0"/>
              <w:bottom w:val="single" w:color="auto" w:sz="4" w:space="0"/>
              <w:right w:val="nil"/>
            </w:tcBorders>
            <w:vAlign w:val="center"/>
          </w:tcPr>
          <w:p>
            <w:pPr>
              <w:widowControl/>
              <w:jc w:val="center"/>
              <w:rPr>
                <w:rFonts w:hint="eastAsia" w:asciiTheme="minorEastAsia" w:hAnsiTheme="minorEastAsia" w:eastAsiaTheme="minorEastAsia" w:cstheme="minorEastAsia"/>
                <w:color w:val="000000"/>
                <w:kern w:val="0"/>
                <w:sz w:val="20"/>
                <w:szCs w:val="20"/>
              </w:rPr>
            </w:pPr>
            <w:r>
              <w:rPr>
                <w:rFonts w:hint="eastAsia" w:asciiTheme="minorEastAsia" w:hAnsiTheme="minorEastAsia" w:eastAsiaTheme="minorEastAsia" w:cstheme="minorEastAsia"/>
                <w:color w:val="000000"/>
                <w:kern w:val="0"/>
                <w:sz w:val="20"/>
                <w:szCs w:val="20"/>
              </w:rPr>
              <w:t>基本支出</w:t>
            </w:r>
          </w:p>
        </w:tc>
        <w:tc>
          <w:tcPr>
            <w:tcW w:w="882" w:type="pct"/>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Theme="minorEastAsia" w:hAnsiTheme="minorEastAsia" w:eastAsiaTheme="minorEastAsia" w:cstheme="minorEastAsia"/>
                <w:color w:val="000000"/>
                <w:kern w:val="0"/>
                <w:sz w:val="20"/>
                <w:szCs w:val="20"/>
                <w:highlight w:val="none"/>
                <w:lang w:eastAsia="zh-CN"/>
              </w:rPr>
            </w:pPr>
            <w:r>
              <w:rPr>
                <w:rFonts w:hint="eastAsia" w:asciiTheme="minorEastAsia" w:hAnsiTheme="minorEastAsia" w:eastAsiaTheme="minorEastAsia" w:cstheme="minorEastAsia"/>
                <w:color w:val="000000"/>
                <w:kern w:val="0"/>
                <w:sz w:val="20"/>
                <w:szCs w:val="20"/>
                <w:highlight w:val="none"/>
              </w:rPr>
              <w:t>3,785.15</w:t>
            </w:r>
          </w:p>
        </w:tc>
        <w:tc>
          <w:tcPr>
            <w:tcW w:w="882" w:type="pct"/>
            <w:tcBorders>
              <w:top w:val="single" w:color="auto" w:sz="4" w:space="0"/>
              <w:left w:val="nil"/>
              <w:bottom w:val="single" w:color="auto" w:sz="4" w:space="0"/>
              <w:right w:val="single" w:color="auto" w:sz="4" w:space="0"/>
            </w:tcBorders>
            <w:vAlign w:val="center"/>
          </w:tcPr>
          <w:p>
            <w:pPr>
              <w:widowControl/>
              <w:jc w:val="center"/>
              <w:rPr>
                <w:rFonts w:hint="eastAsia" w:asciiTheme="minorEastAsia" w:hAnsiTheme="minorEastAsia" w:eastAsiaTheme="minorEastAsia" w:cstheme="minorEastAsia"/>
                <w:color w:val="000000"/>
                <w:kern w:val="0"/>
                <w:sz w:val="20"/>
                <w:szCs w:val="20"/>
                <w:highlight w:val="none"/>
                <w:lang w:eastAsia="zh-CN"/>
              </w:rPr>
            </w:pPr>
            <w:r>
              <w:rPr>
                <w:rFonts w:hint="eastAsia" w:asciiTheme="minorEastAsia" w:hAnsiTheme="minorEastAsia" w:eastAsiaTheme="minorEastAsia" w:cstheme="minorEastAsia"/>
                <w:color w:val="000000"/>
                <w:kern w:val="0"/>
                <w:sz w:val="20"/>
                <w:szCs w:val="20"/>
                <w:highlight w:val="none"/>
              </w:rPr>
              <w:t>3,173.67</w:t>
            </w:r>
          </w:p>
        </w:tc>
        <w:tc>
          <w:tcPr>
            <w:tcW w:w="663" w:type="pct"/>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Theme="minorEastAsia" w:hAnsiTheme="minorEastAsia" w:eastAsiaTheme="minorEastAsia" w:cstheme="minorEastAsia"/>
                <w:color w:val="000000"/>
                <w:kern w:val="0"/>
                <w:sz w:val="20"/>
                <w:szCs w:val="20"/>
              </w:rPr>
            </w:pPr>
            <w:r>
              <w:rPr>
                <w:rFonts w:hint="eastAsia" w:asciiTheme="minorEastAsia" w:hAnsiTheme="minorEastAsia" w:eastAsiaTheme="minorEastAsia" w:cstheme="minorEastAsia"/>
                <w:color w:val="000000"/>
                <w:kern w:val="0"/>
                <w:sz w:val="20"/>
                <w:szCs w:val="20"/>
              </w:rPr>
              <w:t>——</w:t>
            </w:r>
          </w:p>
        </w:tc>
        <w:tc>
          <w:tcPr>
            <w:tcW w:w="335"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Theme="minorEastAsia" w:hAnsiTheme="minorEastAsia" w:eastAsiaTheme="minorEastAsia" w:cstheme="minorEastAsia"/>
                <w:color w:val="000000"/>
                <w:kern w:val="0"/>
                <w:sz w:val="20"/>
                <w:szCs w:val="20"/>
              </w:rPr>
            </w:pPr>
          </w:p>
        </w:tc>
        <w:tc>
          <w:tcPr>
            <w:tcW w:w="363" w:type="pct"/>
            <w:vMerge w:val="continue"/>
            <w:tcBorders>
              <w:top w:val="single" w:color="auto" w:sz="4" w:space="0"/>
              <w:left w:val="nil"/>
              <w:bottom w:val="single" w:color="auto" w:sz="4" w:space="0"/>
              <w:right w:val="single" w:color="auto" w:sz="4" w:space="0"/>
            </w:tcBorders>
            <w:vAlign w:val="center"/>
          </w:tcPr>
          <w:p>
            <w:pPr>
              <w:widowControl/>
              <w:jc w:val="left"/>
              <w:rPr>
                <w:rFonts w:hint="eastAsia" w:asciiTheme="minorEastAsia" w:hAnsiTheme="minorEastAsia" w:eastAsiaTheme="minorEastAsia" w:cstheme="minorEastAsia"/>
                <w:color w:val="000000"/>
                <w:kern w:val="0"/>
                <w:sz w:val="20"/>
                <w:szCs w:val="20"/>
              </w:rPr>
            </w:pPr>
          </w:p>
        </w:tc>
      </w:tr>
      <w:tr>
        <w:tblPrEx>
          <w:tblCellMar>
            <w:top w:w="0" w:type="dxa"/>
            <w:left w:w="108" w:type="dxa"/>
            <w:bottom w:w="0" w:type="dxa"/>
            <w:right w:w="108" w:type="dxa"/>
          </w:tblCellMar>
        </w:tblPrEx>
        <w:trPr>
          <w:trHeight w:val="1304" w:hRule="atLeast"/>
        </w:trPr>
        <w:tc>
          <w:tcPr>
            <w:tcW w:w="131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Theme="minorEastAsia" w:hAnsiTheme="minorEastAsia" w:eastAsiaTheme="minorEastAsia" w:cstheme="minorEastAsia"/>
                <w:color w:val="000000"/>
                <w:kern w:val="0"/>
                <w:sz w:val="20"/>
                <w:szCs w:val="20"/>
              </w:rPr>
            </w:pPr>
          </w:p>
        </w:tc>
        <w:tc>
          <w:tcPr>
            <w:tcW w:w="554" w:type="pct"/>
            <w:tcBorders>
              <w:top w:val="single" w:color="auto" w:sz="4" w:space="0"/>
              <w:left w:val="single" w:color="auto" w:sz="4" w:space="0"/>
              <w:bottom w:val="single" w:color="auto" w:sz="4" w:space="0"/>
              <w:right w:val="nil"/>
            </w:tcBorders>
            <w:vAlign w:val="center"/>
          </w:tcPr>
          <w:p>
            <w:pPr>
              <w:widowControl/>
              <w:jc w:val="center"/>
              <w:rPr>
                <w:rFonts w:hint="eastAsia" w:asciiTheme="minorEastAsia" w:hAnsiTheme="minorEastAsia" w:eastAsiaTheme="minorEastAsia" w:cstheme="minorEastAsia"/>
                <w:color w:val="000000"/>
                <w:kern w:val="0"/>
                <w:sz w:val="20"/>
                <w:szCs w:val="20"/>
                <w:highlight w:val="none"/>
              </w:rPr>
            </w:pPr>
            <w:r>
              <w:rPr>
                <w:rFonts w:hint="eastAsia" w:asciiTheme="minorEastAsia" w:hAnsiTheme="minorEastAsia" w:eastAsiaTheme="minorEastAsia" w:cstheme="minorEastAsia"/>
                <w:color w:val="000000"/>
                <w:kern w:val="0"/>
                <w:sz w:val="20"/>
                <w:szCs w:val="20"/>
                <w:highlight w:val="none"/>
              </w:rPr>
              <w:t>项目支出</w:t>
            </w:r>
          </w:p>
        </w:tc>
        <w:tc>
          <w:tcPr>
            <w:tcW w:w="882" w:type="pct"/>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Theme="minorEastAsia" w:hAnsiTheme="minorEastAsia" w:eastAsiaTheme="minorEastAsia" w:cstheme="minorEastAsia"/>
                <w:color w:val="000000"/>
                <w:kern w:val="0"/>
                <w:sz w:val="20"/>
                <w:szCs w:val="20"/>
                <w:highlight w:val="none"/>
                <w:lang w:eastAsia="zh-CN"/>
              </w:rPr>
            </w:pPr>
            <w:r>
              <w:rPr>
                <w:rFonts w:hint="eastAsia" w:asciiTheme="minorEastAsia" w:hAnsiTheme="minorEastAsia" w:eastAsiaTheme="minorEastAsia" w:cstheme="minorEastAsia"/>
                <w:color w:val="000000"/>
                <w:kern w:val="0"/>
                <w:sz w:val="20"/>
                <w:szCs w:val="20"/>
                <w:highlight w:val="none"/>
              </w:rPr>
              <w:t>1,787.86</w:t>
            </w:r>
          </w:p>
        </w:tc>
        <w:tc>
          <w:tcPr>
            <w:tcW w:w="882" w:type="pct"/>
            <w:tcBorders>
              <w:top w:val="single" w:color="auto" w:sz="4" w:space="0"/>
              <w:left w:val="nil"/>
              <w:bottom w:val="single" w:color="auto" w:sz="4" w:space="0"/>
              <w:right w:val="single" w:color="auto" w:sz="4" w:space="0"/>
            </w:tcBorders>
            <w:vAlign w:val="center"/>
          </w:tcPr>
          <w:p>
            <w:pPr>
              <w:widowControl/>
              <w:jc w:val="center"/>
              <w:rPr>
                <w:rFonts w:hint="eastAsia" w:asciiTheme="minorEastAsia" w:hAnsiTheme="minorEastAsia" w:eastAsiaTheme="minorEastAsia" w:cstheme="minorEastAsia"/>
                <w:color w:val="000000"/>
                <w:kern w:val="0"/>
                <w:sz w:val="20"/>
                <w:szCs w:val="20"/>
                <w:highlight w:val="none"/>
                <w:lang w:eastAsia="zh-CN"/>
              </w:rPr>
            </w:pPr>
            <w:r>
              <w:rPr>
                <w:rFonts w:hint="eastAsia" w:asciiTheme="minorEastAsia" w:hAnsiTheme="minorEastAsia" w:eastAsiaTheme="minorEastAsia" w:cstheme="minorEastAsia"/>
                <w:color w:val="000000"/>
                <w:kern w:val="0"/>
                <w:sz w:val="20"/>
                <w:szCs w:val="20"/>
                <w:highlight w:val="none"/>
              </w:rPr>
              <w:t>1,787.86</w:t>
            </w:r>
          </w:p>
        </w:tc>
        <w:tc>
          <w:tcPr>
            <w:tcW w:w="663"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Theme="minorEastAsia" w:hAnsiTheme="minorEastAsia" w:eastAsiaTheme="minorEastAsia" w:cstheme="minorEastAsia"/>
                <w:color w:val="000000"/>
                <w:kern w:val="0"/>
                <w:sz w:val="20"/>
                <w:szCs w:val="20"/>
              </w:rPr>
            </w:pPr>
          </w:p>
        </w:tc>
        <w:tc>
          <w:tcPr>
            <w:tcW w:w="335"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Theme="minorEastAsia" w:hAnsiTheme="minorEastAsia" w:eastAsiaTheme="minorEastAsia" w:cstheme="minorEastAsia"/>
                <w:color w:val="000000"/>
                <w:kern w:val="0"/>
                <w:sz w:val="20"/>
                <w:szCs w:val="20"/>
              </w:rPr>
            </w:pPr>
          </w:p>
        </w:tc>
        <w:tc>
          <w:tcPr>
            <w:tcW w:w="363" w:type="pct"/>
            <w:vMerge w:val="continue"/>
            <w:tcBorders>
              <w:top w:val="single" w:color="auto" w:sz="4" w:space="0"/>
              <w:left w:val="nil"/>
              <w:bottom w:val="single" w:color="auto" w:sz="4" w:space="0"/>
              <w:right w:val="single" w:color="auto" w:sz="4" w:space="0"/>
            </w:tcBorders>
            <w:vAlign w:val="center"/>
          </w:tcPr>
          <w:p>
            <w:pPr>
              <w:widowControl/>
              <w:jc w:val="left"/>
              <w:rPr>
                <w:rFonts w:hint="eastAsia" w:asciiTheme="minorEastAsia" w:hAnsiTheme="minorEastAsia" w:eastAsiaTheme="minorEastAsia" w:cstheme="minorEastAsia"/>
                <w:color w:val="000000"/>
                <w:kern w:val="0"/>
                <w:sz w:val="20"/>
                <w:szCs w:val="20"/>
              </w:rPr>
            </w:pPr>
          </w:p>
        </w:tc>
      </w:tr>
      <w:tr>
        <w:tblPrEx>
          <w:tblCellMar>
            <w:top w:w="0" w:type="dxa"/>
            <w:left w:w="108" w:type="dxa"/>
            <w:bottom w:w="0" w:type="dxa"/>
            <w:right w:w="108" w:type="dxa"/>
          </w:tblCellMar>
        </w:tblPrEx>
        <w:trPr>
          <w:trHeight w:val="1020" w:hRule="atLeast"/>
        </w:trPr>
        <w:tc>
          <w:tcPr>
            <w:tcW w:w="131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Theme="minorEastAsia" w:hAnsiTheme="minorEastAsia" w:eastAsiaTheme="minorEastAsia" w:cstheme="minorEastAsia"/>
                <w:color w:val="000000"/>
                <w:kern w:val="0"/>
                <w:sz w:val="20"/>
                <w:szCs w:val="20"/>
              </w:rPr>
            </w:pPr>
          </w:p>
        </w:tc>
        <w:tc>
          <w:tcPr>
            <w:tcW w:w="554" w:type="pct"/>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Theme="minorEastAsia" w:hAnsiTheme="minorEastAsia" w:eastAsiaTheme="minorEastAsia" w:cstheme="minorEastAsia"/>
                <w:color w:val="000000"/>
                <w:kern w:val="0"/>
                <w:sz w:val="20"/>
                <w:szCs w:val="20"/>
              </w:rPr>
            </w:pPr>
            <w:r>
              <w:rPr>
                <w:rFonts w:hint="eastAsia" w:asciiTheme="minorEastAsia" w:hAnsiTheme="minorEastAsia" w:eastAsiaTheme="minorEastAsia" w:cstheme="minorEastAsia"/>
                <w:color w:val="000000"/>
                <w:kern w:val="0"/>
                <w:sz w:val="20"/>
                <w:szCs w:val="20"/>
              </w:rPr>
              <w:t>其他</w:t>
            </w:r>
          </w:p>
        </w:tc>
        <w:tc>
          <w:tcPr>
            <w:tcW w:w="882" w:type="pct"/>
            <w:tcBorders>
              <w:top w:val="single" w:color="auto" w:sz="4" w:space="0"/>
              <w:left w:val="nil"/>
              <w:bottom w:val="single" w:color="auto" w:sz="4" w:space="0"/>
              <w:right w:val="single" w:color="auto" w:sz="4" w:space="0"/>
            </w:tcBorders>
            <w:vAlign w:val="center"/>
          </w:tcPr>
          <w:p>
            <w:pPr>
              <w:widowControl/>
              <w:jc w:val="center"/>
              <w:rPr>
                <w:rFonts w:hint="eastAsia" w:asciiTheme="minorEastAsia" w:hAnsiTheme="minorEastAsia" w:eastAsiaTheme="minorEastAsia" w:cstheme="minorEastAsia"/>
                <w:color w:val="000000"/>
                <w:kern w:val="0"/>
                <w:sz w:val="20"/>
                <w:szCs w:val="20"/>
              </w:rPr>
            </w:pPr>
            <w:r>
              <w:rPr>
                <w:rFonts w:hint="eastAsia" w:asciiTheme="minorEastAsia" w:hAnsiTheme="minorEastAsia" w:eastAsiaTheme="minorEastAsia" w:cstheme="minorEastAsia"/>
                <w:color w:val="000000"/>
                <w:kern w:val="0"/>
                <w:sz w:val="20"/>
                <w:szCs w:val="20"/>
              </w:rPr>
              <w:t>0.00</w:t>
            </w:r>
          </w:p>
        </w:tc>
        <w:tc>
          <w:tcPr>
            <w:tcW w:w="882" w:type="pct"/>
            <w:tcBorders>
              <w:top w:val="single" w:color="auto" w:sz="4" w:space="0"/>
              <w:left w:val="nil"/>
              <w:bottom w:val="single" w:color="auto" w:sz="4" w:space="0"/>
              <w:right w:val="single" w:color="auto" w:sz="4" w:space="0"/>
            </w:tcBorders>
            <w:vAlign w:val="center"/>
          </w:tcPr>
          <w:p>
            <w:pPr>
              <w:widowControl/>
              <w:jc w:val="center"/>
              <w:rPr>
                <w:rFonts w:hint="eastAsia" w:asciiTheme="minorEastAsia" w:hAnsiTheme="minorEastAsia" w:eastAsiaTheme="minorEastAsia" w:cstheme="minorEastAsia"/>
                <w:color w:val="000000"/>
                <w:kern w:val="0"/>
                <w:sz w:val="20"/>
                <w:szCs w:val="20"/>
              </w:rPr>
            </w:pPr>
            <w:r>
              <w:rPr>
                <w:rFonts w:hint="eastAsia" w:asciiTheme="minorEastAsia" w:hAnsiTheme="minorEastAsia" w:eastAsiaTheme="minorEastAsia" w:cstheme="minorEastAsia"/>
                <w:color w:val="000000"/>
                <w:kern w:val="0"/>
                <w:sz w:val="20"/>
                <w:szCs w:val="20"/>
              </w:rPr>
              <w:t>0.00</w:t>
            </w:r>
          </w:p>
        </w:tc>
        <w:tc>
          <w:tcPr>
            <w:tcW w:w="663"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Theme="minorEastAsia" w:hAnsiTheme="minorEastAsia" w:eastAsiaTheme="minorEastAsia" w:cstheme="minorEastAsia"/>
                <w:color w:val="000000"/>
                <w:kern w:val="0"/>
                <w:sz w:val="20"/>
                <w:szCs w:val="20"/>
              </w:rPr>
            </w:pPr>
          </w:p>
        </w:tc>
        <w:tc>
          <w:tcPr>
            <w:tcW w:w="335"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Theme="minorEastAsia" w:hAnsiTheme="minorEastAsia" w:eastAsiaTheme="minorEastAsia" w:cstheme="minorEastAsia"/>
                <w:color w:val="000000"/>
                <w:kern w:val="0"/>
                <w:sz w:val="20"/>
                <w:szCs w:val="20"/>
              </w:rPr>
            </w:pPr>
          </w:p>
        </w:tc>
        <w:tc>
          <w:tcPr>
            <w:tcW w:w="363" w:type="pct"/>
            <w:vMerge w:val="continue"/>
            <w:tcBorders>
              <w:top w:val="single" w:color="auto" w:sz="4" w:space="0"/>
              <w:left w:val="nil"/>
              <w:bottom w:val="single" w:color="auto" w:sz="4" w:space="0"/>
              <w:right w:val="single" w:color="auto" w:sz="4" w:space="0"/>
            </w:tcBorders>
            <w:vAlign w:val="center"/>
          </w:tcPr>
          <w:p>
            <w:pPr>
              <w:widowControl/>
              <w:jc w:val="left"/>
              <w:rPr>
                <w:rFonts w:hint="eastAsia" w:asciiTheme="minorEastAsia" w:hAnsiTheme="minorEastAsia" w:eastAsiaTheme="minorEastAsia" w:cstheme="minorEastAsia"/>
                <w:color w:val="000000"/>
                <w:kern w:val="0"/>
                <w:sz w:val="20"/>
                <w:szCs w:val="20"/>
              </w:rPr>
            </w:pPr>
          </w:p>
        </w:tc>
      </w:tr>
    </w:tbl>
    <w:p>
      <w:pPr>
        <w:spacing w:line="600" w:lineRule="exact"/>
        <w:rPr>
          <w:rFonts w:ascii="仿宋_GB2312" w:hAnsi="宋体" w:eastAsia="仿宋_GB2312" w:cs="宋体"/>
          <w:color w:val="000000"/>
          <w:kern w:val="0"/>
          <w:sz w:val="32"/>
          <w:szCs w:val="32"/>
        </w:rPr>
      </w:pPr>
    </w:p>
    <w:tbl>
      <w:tblPr>
        <w:tblStyle w:val="1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69"/>
        <w:gridCol w:w="1143"/>
        <w:gridCol w:w="1069"/>
        <w:gridCol w:w="6274"/>
        <w:gridCol w:w="2778"/>
        <w:gridCol w:w="771"/>
        <w:gridCol w:w="6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1" w:hRule="atLeast"/>
          <w:tblHeader/>
        </w:trPr>
        <w:tc>
          <w:tcPr>
            <w:tcW w:w="0" w:type="auto"/>
            <w:vAlign w:val="center"/>
          </w:tcPr>
          <w:p>
            <w:pPr>
              <w:widowControl/>
              <w:jc w:val="center"/>
              <w:rPr>
                <w:rFonts w:hint="eastAsia" w:asciiTheme="minorEastAsia" w:hAnsiTheme="minorEastAsia" w:eastAsiaTheme="minorEastAsia" w:cstheme="minorEastAsia"/>
                <w:color w:val="000000"/>
                <w:kern w:val="0"/>
                <w:sz w:val="20"/>
                <w:szCs w:val="20"/>
              </w:rPr>
            </w:pPr>
            <w:r>
              <w:rPr>
                <w:rFonts w:hint="eastAsia" w:asciiTheme="minorEastAsia" w:hAnsiTheme="minorEastAsia" w:eastAsiaTheme="minorEastAsia" w:cstheme="minorEastAsia"/>
                <w:color w:val="000000"/>
                <w:kern w:val="0"/>
                <w:sz w:val="20"/>
                <w:szCs w:val="20"/>
              </w:rPr>
              <w:t>一级指标</w:t>
            </w:r>
          </w:p>
        </w:tc>
        <w:tc>
          <w:tcPr>
            <w:tcW w:w="0" w:type="auto"/>
            <w:vAlign w:val="center"/>
          </w:tcPr>
          <w:p>
            <w:pPr>
              <w:widowControl/>
              <w:jc w:val="center"/>
              <w:rPr>
                <w:rFonts w:hint="eastAsia" w:asciiTheme="minorEastAsia" w:hAnsiTheme="minorEastAsia" w:eastAsiaTheme="minorEastAsia" w:cstheme="minorEastAsia"/>
                <w:color w:val="000000"/>
                <w:kern w:val="0"/>
                <w:sz w:val="20"/>
                <w:szCs w:val="20"/>
              </w:rPr>
            </w:pPr>
            <w:r>
              <w:rPr>
                <w:rFonts w:hint="eastAsia" w:asciiTheme="minorEastAsia" w:hAnsiTheme="minorEastAsia" w:eastAsiaTheme="minorEastAsia" w:cstheme="minorEastAsia"/>
                <w:color w:val="000000"/>
                <w:kern w:val="0"/>
                <w:sz w:val="20"/>
                <w:szCs w:val="20"/>
              </w:rPr>
              <w:t>二级</w:t>
            </w:r>
          </w:p>
          <w:p>
            <w:pPr>
              <w:widowControl/>
              <w:jc w:val="center"/>
              <w:rPr>
                <w:rFonts w:hint="eastAsia" w:asciiTheme="minorEastAsia" w:hAnsiTheme="minorEastAsia" w:eastAsiaTheme="minorEastAsia" w:cstheme="minorEastAsia"/>
                <w:color w:val="000000"/>
                <w:kern w:val="0"/>
                <w:sz w:val="20"/>
                <w:szCs w:val="20"/>
              </w:rPr>
            </w:pPr>
            <w:r>
              <w:rPr>
                <w:rFonts w:hint="eastAsia" w:asciiTheme="minorEastAsia" w:hAnsiTheme="minorEastAsia" w:eastAsiaTheme="minorEastAsia" w:cstheme="minorEastAsia"/>
                <w:color w:val="000000"/>
                <w:kern w:val="0"/>
                <w:sz w:val="20"/>
                <w:szCs w:val="20"/>
              </w:rPr>
              <w:t>指标　</w:t>
            </w:r>
          </w:p>
        </w:tc>
        <w:tc>
          <w:tcPr>
            <w:tcW w:w="0" w:type="auto"/>
            <w:vAlign w:val="center"/>
          </w:tcPr>
          <w:p>
            <w:pPr>
              <w:widowControl/>
              <w:jc w:val="center"/>
              <w:rPr>
                <w:rFonts w:hint="eastAsia" w:asciiTheme="minorEastAsia" w:hAnsiTheme="minorEastAsia" w:eastAsiaTheme="minorEastAsia" w:cstheme="minorEastAsia"/>
                <w:color w:val="000000"/>
                <w:kern w:val="0"/>
                <w:sz w:val="20"/>
                <w:szCs w:val="20"/>
              </w:rPr>
            </w:pPr>
            <w:r>
              <w:rPr>
                <w:rFonts w:hint="eastAsia" w:asciiTheme="minorEastAsia" w:hAnsiTheme="minorEastAsia" w:eastAsiaTheme="minorEastAsia" w:cstheme="minorEastAsia"/>
                <w:color w:val="000000"/>
                <w:kern w:val="0"/>
                <w:sz w:val="20"/>
                <w:szCs w:val="20"/>
              </w:rPr>
              <w:t>三级指标　</w:t>
            </w:r>
          </w:p>
        </w:tc>
        <w:tc>
          <w:tcPr>
            <w:tcW w:w="0" w:type="auto"/>
            <w:vAlign w:val="center"/>
          </w:tcPr>
          <w:p>
            <w:pPr>
              <w:widowControl/>
              <w:jc w:val="center"/>
              <w:rPr>
                <w:rFonts w:hint="eastAsia" w:asciiTheme="minorEastAsia" w:hAnsiTheme="minorEastAsia" w:eastAsiaTheme="minorEastAsia" w:cstheme="minorEastAsia"/>
                <w:color w:val="000000"/>
                <w:kern w:val="0"/>
                <w:sz w:val="20"/>
                <w:szCs w:val="20"/>
              </w:rPr>
            </w:pPr>
            <w:r>
              <w:rPr>
                <w:rFonts w:hint="eastAsia" w:asciiTheme="minorEastAsia" w:hAnsiTheme="minorEastAsia" w:eastAsiaTheme="minorEastAsia" w:cstheme="minorEastAsia"/>
                <w:color w:val="000000"/>
                <w:kern w:val="0"/>
                <w:sz w:val="20"/>
                <w:szCs w:val="20"/>
              </w:rPr>
              <w:t>指标值</w:t>
            </w:r>
          </w:p>
        </w:tc>
        <w:tc>
          <w:tcPr>
            <w:tcW w:w="0" w:type="auto"/>
            <w:vAlign w:val="center"/>
          </w:tcPr>
          <w:p>
            <w:pPr>
              <w:widowControl/>
              <w:jc w:val="center"/>
              <w:rPr>
                <w:rFonts w:hint="eastAsia" w:asciiTheme="minorEastAsia" w:hAnsiTheme="minorEastAsia" w:eastAsiaTheme="minorEastAsia" w:cstheme="minorEastAsia"/>
                <w:color w:val="000000"/>
                <w:kern w:val="0"/>
                <w:sz w:val="20"/>
                <w:szCs w:val="20"/>
              </w:rPr>
            </w:pPr>
            <w:r>
              <w:rPr>
                <w:rFonts w:hint="eastAsia" w:asciiTheme="minorEastAsia" w:hAnsiTheme="minorEastAsia" w:eastAsiaTheme="minorEastAsia" w:cstheme="minorEastAsia"/>
                <w:color w:val="000000"/>
                <w:kern w:val="0"/>
                <w:sz w:val="20"/>
                <w:szCs w:val="20"/>
              </w:rPr>
              <w:t>完成值</w:t>
            </w:r>
          </w:p>
        </w:tc>
        <w:tc>
          <w:tcPr>
            <w:tcW w:w="0" w:type="auto"/>
            <w:vAlign w:val="center"/>
          </w:tcPr>
          <w:p>
            <w:pPr>
              <w:widowControl/>
              <w:jc w:val="center"/>
              <w:rPr>
                <w:rFonts w:hint="eastAsia" w:asciiTheme="minorEastAsia" w:hAnsiTheme="minorEastAsia" w:eastAsiaTheme="minorEastAsia" w:cstheme="minorEastAsia"/>
                <w:color w:val="000000"/>
                <w:kern w:val="0"/>
                <w:sz w:val="20"/>
                <w:szCs w:val="20"/>
              </w:rPr>
            </w:pPr>
            <w:r>
              <w:rPr>
                <w:rFonts w:hint="eastAsia" w:asciiTheme="minorEastAsia" w:hAnsiTheme="minorEastAsia" w:eastAsiaTheme="minorEastAsia" w:cstheme="minorEastAsia"/>
                <w:color w:val="000000"/>
                <w:kern w:val="0"/>
                <w:sz w:val="20"/>
                <w:szCs w:val="20"/>
              </w:rPr>
              <w:t>分值</w:t>
            </w:r>
          </w:p>
        </w:tc>
        <w:tc>
          <w:tcPr>
            <w:tcW w:w="0" w:type="auto"/>
            <w:vAlign w:val="center"/>
          </w:tcPr>
          <w:p>
            <w:pPr>
              <w:widowControl/>
              <w:jc w:val="center"/>
              <w:rPr>
                <w:rFonts w:hint="eastAsia" w:asciiTheme="minorEastAsia" w:hAnsiTheme="minorEastAsia" w:eastAsiaTheme="minorEastAsia" w:cstheme="minorEastAsia"/>
                <w:color w:val="000000"/>
                <w:kern w:val="0"/>
                <w:sz w:val="20"/>
                <w:szCs w:val="20"/>
              </w:rPr>
            </w:pPr>
            <w:r>
              <w:rPr>
                <w:rFonts w:hint="eastAsia" w:asciiTheme="minorEastAsia" w:hAnsiTheme="minorEastAsia" w:eastAsiaTheme="minorEastAsia" w:cstheme="minorEastAsia"/>
                <w:color w:val="000000"/>
                <w:kern w:val="0"/>
                <w:sz w:val="20"/>
                <w:szCs w:val="20"/>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0" w:type="auto"/>
            <w:vMerge w:val="restart"/>
            <w:vAlign w:val="center"/>
          </w:tcPr>
          <w:p>
            <w:pPr>
              <w:widowControl/>
              <w:jc w:val="center"/>
              <w:rPr>
                <w:rFonts w:hint="eastAsia" w:asciiTheme="minorEastAsia" w:hAnsiTheme="minorEastAsia" w:eastAsiaTheme="minorEastAsia" w:cstheme="minorEastAsia"/>
                <w:color w:val="000000"/>
                <w:kern w:val="0"/>
                <w:sz w:val="20"/>
                <w:szCs w:val="20"/>
              </w:rPr>
            </w:pPr>
            <w:r>
              <w:rPr>
                <w:rFonts w:hint="eastAsia" w:asciiTheme="minorEastAsia" w:hAnsiTheme="minorEastAsia" w:eastAsiaTheme="minorEastAsia" w:cstheme="minorEastAsia"/>
                <w:color w:val="000000"/>
                <w:kern w:val="0"/>
                <w:sz w:val="20"/>
                <w:szCs w:val="20"/>
              </w:rPr>
              <w:t>整体绩效目标实现情况（60）</w:t>
            </w:r>
          </w:p>
        </w:tc>
        <w:tc>
          <w:tcPr>
            <w:tcW w:w="0" w:type="auto"/>
            <w:vMerge w:val="restart"/>
            <w:vAlign w:val="center"/>
          </w:tcPr>
          <w:p>
            <w:pPr>
              <w:widowControl/>
              <w:jc w:val="center"/>
              <w:rPr>
                <w:rFonts w:hint="eastAsia" w:asciiTheme="minorEastAsia" w:hAnsiTheme="minorEastAsia" w:eastAsiaTheme="minorEastAsia" w:cstheme="minorEastAsia"/>
                <w:color w:val="000000"/>
                <w:kern w:val="0"/>
                <w:sz w:val="20"/>
                <w:szCs w:val="20"/>
              </w:rPr>
            </w:pPr>
          </w:p>
          <w:p>
            <w:pPr>
              <w:jc w:val="center"/>
              <w:rPr>
                <w:rFonts w:hint="eastAsia" w:asciiTheme="minorEastAsia" w:hAnsiTheme="minorEastAsia" w:eastAsiaTheme="minorEastAsia" w:cstheme="minorEastAsia"/>
                <w:color w:val="000000"/>
                <w:kern w:val="0"/>
                <w:sz w:val="20"/>
                <w:szCs w:val="20"/>
              </w:rPr>
            </w:pPr>
            <w:r>
              <w:rPr>
                <w:rFonts w:hint="eastAsia" w:asciiTheme="minorEastAsia" w:hAnsiTheme="minorEastAsia" w:eastAsiaTheme="minorEastAsia" w:cstheme="minorEastAsia"/>
                <w:color w:val="000000"/>
                <w:kern w:val="0"/>
                <w:sz w:val="20"/>
                <w:szCs w:val="20"/>
              </w:rPr>
              <w:t>产出（30）</w:t>
            </w:r>
          </w:p>
        </w:tc>
        <w:tc>
          <w:tcPr>
            <w:tcW w:w="0" w:type="auto"/>
            <w:vMerge w:val="restart"/>
            <w:shd w:val="clear" w:color="auto" w:fill="auto"/>
            <w:vAlign w:val="center"/>
          </w:tcPr>
          <w:p>
            <w:pPr>
              <w:jc w:val="center"/>
              <w:rPr>
                <w:rFonts w:hint="eastAsia" w:asciiTheme="minorEastAsia" w:hAnsiTheme="minorEastAsia" w:eastAsiaTheme="minorEastAsia" w:cstheme="minorEastAsia"/>
                <w:color w:val="000000"/>
                <w:sz w:val="20"/>
                <w:szCs w:val="20"/>
              </w:rPr>
            </w:pPr>
          </w:p>
          <w:p>
            <w:pPr>
              <w:jc w:val="cente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数量指标</w:t>
            </w:r>
          </w:p>
        </w:tc>
        <w:tc>
          <w:tcPr>
            <w:tcW w:w="0" w:type="auto"/>
            <w:shd w:val="clear" w:color="auto" w:fill="auto"/>
            <w:vAlign w:val="center"/>
          </w:tcPr>
          <w:p>
            <w:pPr>
              <w:rPr>
                <w:rFonts w:hint="eastAsia" w:asciiTheme="minorEastAsia" w:hAnsiTheme="minorEastAsia" w:eastAsiaTheme="minorEastAsia" w:cstheme="minorEastAsia"/>
                <w:color w:val="000000"/>
                <w:sz w:val="20"/>
                <w:szCs w:val="20"/>
                <w:highlight w:val="none"/>
              </w:rPr>
            </w:pPr>
            <w:r>
              <w:rPr>
                <w:rFonts w:hint="eastAsia" w:asciiTheme="minorEastAsia" w:hAnsiTheme="minorEastAsia" w:eastAsiaTheme="minorEastAsia" w:cstheme="minorEastAsia"/>
                <w:color w:val="000000"/>
                <w:sz w:val="20"/>
                <w:szCs w:val="20"/>
                <w:highlight w:val="none"/>
                <w:lang w:val="en-US" w:eastAsia="zh-CN"/>
              </w:rPr>
              <w:t>完成研究成果、杂志、发展报告等成果推广与智力服务数量指标。出版《北京农村年鉴》《北京市某村镇志》1000册，文字数&gt;=90万字。出版《北京农村经济》月刊年度发行量=78000册</w:t>
            </w:r>
          </w:p>
        </w:tc>
        <w:tc>
          <w:tcPr>
            <w:tcW w:w="0" w:type="auto"/>
            <w:shd w:val="clear" w:color="auto" w:fill="auto"/>
            <w:vAlign w:val="center"/>
          </w:tcPr>
          <w:p>
            <w:pPr>
              <w:rPr>
                <w:rFonts w:hint="eastAsia" w:asciiTheme="minorEastAsia" w:hAnsiTheme="minorEastAsia" w:eastAsiaTheme="minorEastAsia" w:cstheme="minorEastAsia"/>
                <w:color w:val="000000"/>
                <w:sz w:val="20"/>
                <w:szCs w:val="20"/>
                <w:highlight w:val="none"/>
              </w:rPr>
            </w:pPr>
            <w:r>
              <w:rPr>
                <w:rFonts w:hint="eastAsia" w:asciiTheme="minorEastAsia" w:hAnsiTheme="minorEastAsia" w:eastAsiaTheme="minorEastAsia" w:cstheme="minorEastAsia"/>
                <w:color w:val="000000"/>
                <w:sz w:val="20"/>
                <w:szCs w:val="20"/>
                <w:highlight w:val="none"/>
              </w:rPr>
              <w:t>部门产出数量与绩效目标相符</w:t>
            </w:r>
          </w:p>
        </w:tc>
        <w:tc>
          <w:tcPr>
            <w:tcW w:w="0" w:type="auto"/>
            <w:vMerge w:val="restart"/>
            <w:vAlign w:val="center"/>
          </w:tcPr>
          <w:p>
            <w:pPr>
              <w:jc w:val="center"/>
              <w:rPr>
                <w:rFonts w:hint="eastAsia" w:asciiTheme="minorEastAsia" w:hAnsiTheme="minorEastAsia" w:eastAsiaTheme="minorEastAsia" w:cstheme="minorEastAsia"/>
                <w:color w:val="000000"/>
                <w:sz w:val="20"/>
                <w:szCs w:val="20"/>
                <w:lang w:val="en-US" w:eastAsia="zh-CN"/>
              </w:rPr>
            </w:pPr>
            <w:r>
              <w:rPr>
                <w:rFonts w:hint="eastAsia" w:asciiTheme="minorEastAsia" w:hAnsiTheme="minorEastAsia" w:eastAsiaTheme="minorEastAsia" w:cstheme="minorEastAsia"/>
                <w:color w:val="000000"/>
                <w:sz w:val="20"/>
                <w:szCs w:val="20"/>
                <w:lang w:val="en-US" w:eastAsia="zh-CN"/>
              </w:rPr>
              <w:t>10</w:t>
            </w:r>
          </w:p>
        </w:tc>
        <w:tc>
          <w:tcPr>
            <w:tcW w:w="0" w:type="auto"/>
            <w:vMerge w:val="restart"/>
            <w:vAlign w:val="center"/>
          </w:tcPr>
          <w:p>
            <w:pPr>
              <w:jc w:val="center"/>
              <w:rPr>
                <w:rFonts w:hint="default" w:asciiTheme="minorEastAsia" w:hAnsiTheme="minorEastAsia" w:eastAsiaTheme="minorEastAsia" w:cstheme="minorEastAsia"/>
                <w:color w:val="000000"/>
                <w:sz w:val="20"/>
                <w:szCs w:val="20"/>
                <w:lang w:val="en-US" w:eastAsia="zh-CN"/>
              </w:rPr>
            </w:pPr>
            <w:r>
              <w:rPr>
                <w:rFonts w:hint="eastAsia" w:asciiTheme="minorEastAsia" w:hAnsiTheme="minorEastAsia" w:eastAsiaTheme="minorEastAsia" w:cstheme="minorEastAsia"/>
                <w:color w:val="000000"/>
                <w:sz w:val="20"/>
                <w:szCs w:val="20"/>
                <w:lang w:val="en-US" w:eastAsia="zh-CN"/>
              </w:rPr>
              <w:t>9.5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0" w:type="auto"/>
            <w:vMerge w:val="continue"/>
            <w:vAlign w:val="center"/>
          </w:tcPr>
          <w:p>
            <w:pPr>
              <w:widowControl/>
              <w:jc w:val="left"/>
              <w:rPr>
                <w:rFonts w:hint="eastAsia" w:asciiTheme="minorEastAsia" w:hAnsiTheme="minorEastAsia" w:eastAsiaTheme="minorEastAsia" w:cstheme="minorEastAsia"/>
                <w:color w:val="000000"/>
                <w:kern w:val="0"/>
                <w:sz w:val="20"/>
                <w:szCs w:val="20"/>
              </w:rPr>
            </w:pPr>
          </w:p>
        </w:tc>
        <w:tc>
          <w:tcPr>
            <w:tcW w:w="0" w:type="auto"/>
            <w:vMerge w:val="continue"/>
            <w:vAlign w:val="center"/>
          </w:tcPr>
          <w:p>
            <w:pPr>
              <w:widowControl/>
              <w:jc w:val="left"/>
              <w:rPr>
                <w:rFonts w:hint="eastAsia" w:asciiTheme="minorEastAsia" w:hAnsiTheme="minorEastAsia" w:eastAsiaTheme="minorEastAsia" w:cstheme="minorEastAsia"/>
                <w:color w:val="000000"/>
                <w:kern w:val="0"/>
                <w:sz w:val="20"/>
                <w:szCs w:val="20"/>
              </w:rPr>
            </w:pPr>
          </w:p>
        </w:tc>
        <w:tc>
          <w:tcPr>
            <w:tcW w:w="0" w:type="auto"/>
            <w:vMerge w:val="continue"/>
            <w:shd w:val="clear" w:color="auto" w:fill="auto"/>
            <w:vAlign w:val="center"/>
          </w:tcPr>
          <w:p>
            <w:pPr>
              <w:rPr>
                <w:rFonts w:hint="eastAsia" w:asciiTheme="minorEastAsia" w:hAnsiTheme="minorEastAsia" w:eastAsiaTheme="minorEastAsia" w:cstheme="minorEastAsia"/>
                <w:color w:val="000000"/>
                <w:sz w:val="20"/>
                <w:szCs w:val="20"/>
              </w:rPr>
            </w:pPr>
          </w:p>
        </w:tc>
        <w:tc>
          <w:tcPr>
            <w:tcW w:w="0" w:type="auto"/>
            <w:shd w:val="clear" w:color="auto" w:fill="auto"/>
            <w:vAlign w:val="center"/>
          </w:tcPr>
          <w:p>
            <w:pPr>
              <w:rPr>
                <w:rFonts w:hint="eastAsia" w:asciiTheme="minorEastAsia" w:hAnsiTheme="minorEastAsia" w:eastAsiaTheme="minorEastAsia" w:cstheme="minorEastAsia"/>
                <w:color w:val="000000"/>
                <w:sz w:val="20"/>
                <w:szCs w:val="20"/>
                <w:highlight w:val="none"/>
              </w:rPr>
            </w:pPr>
            <w:r>
              <w:rPr>
                <w:rFonts w:hint="eastAsia" w:asciiTheme="minorEastAsia" w:hAnsiTheme="minorEastAsia" w:eastAsiaTheme="minorEastAsia" w:cstheme="minorEastAsia"/>
                <w:color w:val="000000"/>
                <w:sz w:val="20"/>
                <w:szCs w:val="20"/>
                <w:highlight w:val="none"/>
              </w:rPr>
              <w:t>举办学术交流会议或活动</w:t>
            </w:r>
          </w:p>
        </w:tc>
        <w:tc>
          <w:tcPr>
            <w:tcW w:w="0" w:type="auto"/>
            <w:shd w:val="clear" w:color="auto" w:fill="auto"/>
            <w:vAlign w:val="center"/>
          </w:tcPr>
          <w:p>
            <w:pPr>
              <w:rPr>
                <w:rFonts w:hint="eastAsia" w:asciiTheme="minorEastAsia" w:hAnsiTheme="minorEastAsia" w:eastAsiaTheme="minorEastAsia" w:cstheme="minorEastAsia"/>
                <w:color w:val="000000"/>
                <w:sz w:val="20"/>
                <w:szCs w:val="20"/>
                <w:highlight w:val="none"/>
              </w:rPr>
            </w:pPr>
            <w:r>
              <w:rPr>
                <w:rFonts w:hint="eastAsia" w:asciiTheme="minorEastAsia" w:hAnsiTheme="minorEastAsia" w:eastAsiaTheme="minorEastAsia" w:cstheme="minorEastAsia"/>
                <w:color w:val="000000"/>
                <w:sz w:val="20"/>
                <w:szCs w:val="20"/>
                <w:highlight w:val="none"/>
              </w:rPr>
              <w:t>部门产出数量与绩效目标相符</w:t>
            </w:r>
          </w:p>
        </w:tc>
        <w:tc>
          <w:tcPr>
            <w:tcW w:w="0" w:type="auto"/>
            <w:vMerge w:val="continue"/>
            <w:vAlign w:val="center"/>
          </w:tcPr>
          <w:p>
            <w:pPr>
              <w:jc w:val="center"/>
              <w:rPr>
                <w:rFonts w:hint="eastAsia" w:asciiTheme="minorEastAsia" w:hAnsiTheme="minorEastAsia" w:eastAsiaTheme="minorEastAsia" w:cstheme="minorEastAsia"/>
                <w:color w:val="000000"/>
                <w:sz w:val="20"/>
                <w:szCs w:val="20"/>
              </w:rPr>
            </w:pPr>
          </w:p>
        </w:tc>
        <w:tc>
          <w:tcPr>
            <w:tcW w:w="0" w:type="auto"/>
            <w:vMerge w:val="continue"/>
            <w:noWrap/>
            <w:vAlign w:val="center"/>
          </w:tcPr>
          <w:p>
            <w:pPr>
              <w:jc w:val="center"/>
              <w:rPr>
                <w:rFonts w:hint="eastAsia" w:asciiTheme="minorEastAsia" w:hAnsiTheme="minorEastAsia" w:eastAsiaTheme="minorEastAsia" w:cstheme="minorEastAsia"/>
                <w:color w:val="00000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0" w:type="auto"/>
            <w:vMerge w:val="continue"/>
            <w:vAlign w:val="center"/>
          </w:tcPr>
          <w:p>
            <w:pPr>
              <w:widowControl/>
              <w:jc w:val="left"/>
              <w:rPr>
                <w:rFonts w:hint="eastAsia" w:asciiTheme="minorEastAsia" w:hAnsiTheme="minorEastAsia" w:eastAsiaTheme="minorEastAsia" w:cstheme="minorEastAsia"/>
                <w:color w:val="000000"/>
                <w:kern w:val="0"/>
                <w:sz w:val="20"/>
                <w:szCs w:val="20"/>
              </w:rPr>
            </w:pPr>
          </w:p>
        </w:tc>
        <w:tc>
          <w:tcPr>
            <w:tcW w:w="0" w:type="auto"/>
            <w:vMerge w:val="continue"/>
            <w:vAlign w:val="center"/>
          </w:tcPr>
          <w:p>
            <w:pPr>
              <w:widowControl/>
              <w:jc w:val="left"/>
              <w:rPr>
                <w:rFonts w:hint="eastAsia" w:asciiTheme="minorEastAsia" w:hAnsiTheme="minorEastAsia" w:eastAsiaTheme="minorEastAsia" w:cstheme="minorEastAsia"/>
                <w:color w:val="000000"/>
                <w:kern w:val="0"/>
                <w:sz w:val="20"/>
                <w:szCs w:val="20"/>
              </w:rPr>
            </w:pPr>
          </w:p>
        </w:tc>
        <w:tc>
          <w:tcPr>
            <w:tcW w:w="0" w:type="auto"/>
            <w:vMerge w:val="continue"/>
            <w:shd w:val="clear" w:color="auto" w:fill="auto"/>
            <w:vAlign w:val="center"/>
          </w:tcPr>
          <w:p>
            <w:pPr>
              <w:rPr>
                <w:rFonts w:hint="eastAsia" w:asciiTheme="minorEastAsia" w:hAnsiTheme="minorEastAsia" w:eastAsiaTheme="minorEastAsia" w:cstheme="minorEastAsia"/>
                <w:color w:val="000000"/>
                <w:sz w:val="20"/>
                <w:szCs w:val="20"/>
              </w:rPr>
            </w:pPr>
          </w:p>
        </w:tc>
        <w:tc>
          <w:tcPr>
            <w:tcW w:w="0" w:type="auto"/>
            <w:shd w:val="clear" w:color="auto" w:fill="auto"/>
            <w:vAlign w:val="center"/>
          </w:tcPr>
          <w:p>
            <w:pPr>
              <w:rPr>
                <w:rFonts w:hint="eastAsia" w:asciiTheme="minorEastAsia" w:hAnsiTheme="minorEastAsia" w:eastAsiaTheme="minorEastAsia" w:cstheme="minorEastAsia"/>
                <w:color w:val="000000"/>
                <w:kern w:val="2"/>
                <w:sz w:val="20"/>
                <w:szCs w:val="20"/>
                <w:highlight w:val="none"/>
                <w:lang w:val="en-US" w:eastAsia="zh-CN" w:bidi="ar-SA"/>
              </w:rPr>
            </w:pPr>
            <w:r>
              <w:rPr>
                <w:rFonts w:hint="eastAsia" w:asciiTheme="minorEastAsia" w:hAnsiTheme="minorEastAsia" w:eastAsiaTheme="minorEastAsia" w:cstheme="minorEastAsia"/>
                <w:color w:val="000000"/>
                <w:sz w:val="20"/>
                <w:szCs w:val="20"/>
                <w:highlight w:val="none"/>
                <w:lang w:val="en-US" w:eastAsia="zh-CN"/>
              </w:rPr>
              <w:t>完成《农研决策参考》，《调查研究报告》，举办农研智库大讲堂</w:t>
            </w:r>
          </w:p>
        </w:tc>
        <w:tc>
          <w:tcPr>
            <w:tcW w:w="0" w:type="auto"/>
            <w:shd w:val="clear" w:color="auto" w:fill="auto"/>
            <w:vAlign w:val="center"/>
          </w:tcPr>
          <w:p>
            <w:pPr>
              <w:rPr>
                <w:rFonts w:hint="eastAsia" w:asciiTheme="minorEastAsia" w:hAnsiTheme="minorEastAsia" w:eastAsiaTheme="minorEastAsia" w:cstheme="minorEastAsia"/>
                <w:color w:val="000000"/>
                <w:sz w:val="20"/>
                <w:szCs w:val="20"/>
                <w:highlight w:val="none"/>
              </w:rPr>
            </w:pPr>
            <w:r>
              <w:rPr>
                <w:rFonts w:hint="eastAsia" w:asciiTheme="minorEastAsia" w:hAnsiTheme="minorEastAsia" w:eastAsiaTheme="minorEastAsia" w:cstheme="minorEastAsia"/>
                <w:color w:val="000000"/>
                <w:sz w:val="20"/>
                <w:szCs w:val="20"/>
                <w:highlight w:val="none"/>
              </w:rPr>
              <w:t>部门产出数量与绩效目标相符</w:t>
            </w:r>
          </w:p>
        </w:tc>
        <w:tc>
          <w:tcPr>
            <w:tcW w:w="0" w:type="auto"/>
            <w:vMerge w:val="continue"/>
            <w:vAlign w:val="center"/>
          </w:tcPr>
          <w:p>
            <w:pPr>
              <w:jc w:val="center"/>
              <w:rPr>
                <w:rFonts w:hint="eastAsia" w:asciiTheme="minorEastAsia" w:hAnsiTheme="minorEastAsia" w:eastAsiaTheme="minorEastAsia" w:cstheme="minorEastAsia"/>
                <w:color w:val="000000"/>
                <w:sz w:val="20"/>
                <w:szCs w:val="20"/>
              </w:rPr>
            </w:pPr>
          </w:p>
        </w:tc>
        <w:tc>
          <w:tcPr>
            <w:tcW w:w="0" w:type="auto"/>
            <w:vMerge w:val="continue"/>
            <w:noWrap/>
            <w:vAlign w:val="center"/>
          </w:tcPr>
          <w:p>
            <w:pPr>
              <w:jc w:val="center"/>
              <w:rPr>
                <w:rFonts w:hint="eastAsia" w:asciiTheme="minorEastAsia" w:hAnsiTheme="minorEastAsia" w:eastAsiaTheme="minorEastAsia" w:cstheme="minorEastAsia"/>
                <w:color w:val="00000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0" w:type="auto"/>
            <w:vMerge w:val="continue"/>
            <w:vAlign w:val="center"/>
          </w:tcPr>
          <w:p>
            <w:pPr>
              <w:widowControl/>
              <w:jc w:val="left"/>
              <w:rPr>
                <w:rFonts w:hint="eastAsia" w:asciiTheme="minorEastAsia" w:hAnsiTheme="minorEastAsia" w:eastAsiaTheme="minorEastAsia" w:cstheme="minorEastAsia"/>
                <w:color w:val="000000"/>
                <w:kern w:val="0"/>
                <w:sz w:val="20"/>
                <w:szCs w:val="20"/>
              </w:rPr>
            </w:pPr>
          </w:p>
        </w:tc>
        <w:tc>
          <w:tcPr>
            <w:tcW w:w="0" w:type="auto"/>
            <w:vMerge w:val="continue"/>
            <w:vAlign w:val="center"/>
          </w:tcPr>
          <w:p>
            <w:pPr>
              <w:widowControl/>
              <w:jc w:val="left"/>
              <w:rPr>
                <w:rFonts w:hint="eastAsia" w:asciiTheme="minorEastAsia" w:hAnsiTheme="minorEastAsia" w:eastAsiaTheme="minorEastAsia" w:cstheme="minorEastAsia"/>
                <w:color w:val="000000"/>
                <w:kern w:val="0"/>
                <w:sz w:val="20"/>
                <w:szCs w:val="20"/>
              </w:rPr>
            </w:pPr>
          </w:p>
        </w:tc>
        <w:tc>
          <w:tcPr>
            <w:tcW w:w="0" w:type="auto"/>
            <w:vMerge w:val="continue"/>
            <w:shd w:val="clear" w:color="auto" w:fill="auto"/>
            <w:vAlign w:val="center"/>
          </w:tcPr>
          <w:p>
            <w:pPr>
              <w:rPr>
                <w:rFonts w:hint="eastAsia" w:asciiTheme="minorEastAsia" w:hAnsiTheme="minorEastAsia" w:eastAsiaTheme="minorEastAsia" w:cstheme="minorEastAsia"/>
                <w:color w:val="000000"/>
                <w:sz w:val="20"/>
                <w:szCs w:val="20"/>
              </w:rPr>
            </w:pPr>
          </w:p>
        </w:tc>
        <w:tc>
          <w:tcPr>
            <w:tcW w:w="0" w:type="auto"/>
            <w:shd w:val="clear" w:color="auto" w:fill="auto"/>
            <w:vAlign w:val="center"/>
          </w:tcPr>
          <w:p>
            <w:pPr>
              <w:rPr>
                <w:rFonts w:hint="eastAsia" w:asciiTheme="minorEastAsia" w:hAnsiTheme="minorEastAsia" w:eastAsiaTheme="minorEastAsia" w:cstheme="minorEastAsia"/>
                <w:color w:val="000000"/>
                <w:sz w:val="20"/>
                <w:szCs w:val="20"/>
                <w:highlight w:val="none"/>
                <w:lang w:val="en-US" w:eastAsia="zh-CN"/>
              </w:rPr>
            </w:pPr>
            <w:r>
              <w:rPr>
                <w:rFonts w:hint="eastAsia" w:asciiTheme="minorEastAsia" w:hAnsiTheme="minorEastAsia" w:eastAsiaTheme="minorEastAsia" w:cstheme="minorEastAsia"/>
                <w:color w:val="000000"/>
                <w:sz w:val="20"/>
                <w:szCs w:val="20"/>
                <w:highlight w:val="none"/>
                <w:lang w:val="en-US" w:eastAsia="zh-CN"/>
              </w:rPr>
              <w:t>专咨委完成调研课题≥25项，每项课题至少一篇课题研究报告，至少一篇决策咨询报告</w:t>
            </w:r>
          </w:p>
        </w:tc>
        <w:tc>
          <w:tcPr>
            <w:tcW w:w="0" w:type="auto"/>
            <w:shd w:val="clear" w:color="auto" w:fill="auto"/>
            <w:vAlign w:val="center"/>
          </w:tcPr>
          <w:p>
            <w:pPr>
              <w:rPr>
                <w:rFonts w:hint="eastAsia" w:asciiTheme="minorEastAsia" w:hAnsiTheme="minorEastAsia" w:eastAsiaTheme="minorEastAsia" w:cstheme="minorEastAsia"/>
                <w:color w:val="000000"/>
                <w:sz w:val="20"/>
                <w:szCs w:val="20"/>
                <w:highlight w:val="none"/>
              </w:rPr>
            </w:pPr>
            <w:r>
              <w:rPr>
                <w:rFonts w:hint="eastAsia" w:asciiTheme="minorEastAsia" w:hAnsiTheme="minorEastAsia" w:eastAsiaTheme="minorEastAsia" w:cstheme="minorEastAsia"/>
                <w:color w:val="000000"/>
                <w:sz w:val="20"/>
                <w:szCs w:val="20"/>
                <w:highlight w:val="none"/>
              </w:rPr>
              <w:t>部门产出数量与绩效目标相符</w:t>
            </w:r>
          </w:p>
        </w:tc>
        <w:tc>
          <w:tcPr>
            <w:tcW w:w="0" w:type="auto"/>
            <w:vMerge w:val="continue"/>
            <w:vAlign w:val="center"/>
          </w:tcPr>
          <w:p>
            <w:pPr>
              <w:jc w:val="center"/>
              <w:rPr>
                <w:rFonts w:hint="eastAsia" w:asciiTheme="minorEastAsia" w:hAnsiTheme="minorEastAsia" w:eastAsiaTheme="minorEastAsia" w:cstheme="minorEastAsia"/>
                <w:color w:val="000000"/>
                <w:sz w:val="20"/>
                <w:szCs w:val="20"/>
              </w:rPr>
            </w:pPr>
          </w:p>
        </w:tc>
        <w:tc>
          <w:tcPr>
            <w:tcW w:w="0" w:type="auto"/>
            <w:vMerge w:val="continue"/>
            <w:noWrap/>
            <w:vAlign w:val="center"/>
          </w:tcPr>
          <w:p>
            <w:pPr>
              <w:jc w:val="center"/>
              <w:rPr>
                <w:rFonts w:hint="eastAsia" w:asciiTheme="minorEastAsia" w:hAnsiTheme="minorEastAsia" w:eastAsiaTheme="minorEastAsia" w:cstheme="minorEastAsia"/>
                <w:color w:val="00000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0" w:type="auto"/>
            <w:vMerge w:val="continue"/>
            <w:vAlign w:val="center"/>
          </w:tcPr>
          <w:p>
            <w:pPr>
              <w:widowControl/>
              <w:jc w:val="left"/>
              <w:rPr>
                <w:rFonts w:hint="eastAsia" w:asciiTheme="minorEastAsia" w:hAnsiTheme="minorEastAsia" w:eastAsiaTheme="minorEastAsia" w:cstheme="minorEastAsia"/>
                <w:color w:val="000000"/>
                <w:kern w:val="0"/>
                <w:sz w:val="20"/>
                <w:szCs w:val="20"/>
              </w:rPr>
            </w:pPr>
          </w:p>
        </w:tc>
        <w:tc>
          <w:tcPr>
            <w:tcW w:w="0" w:type="auto"/>
            <w:vMerge w:val="restart"/>
            <w:vAlign w:val="center"/>
          </w:tcPr>
          <w:p>
            <w:pPr>
              <w:widowControl/>
              <w:jc w:val="center"/>
              <w:rPr>
                <w:rFonts w:hint="eastAsia" w:asciiTheme="minorEastAsia" w:hAnsiTheme="minorEastAsia" w:eastAsiaTheme="minorEastAsia" w:cstheme="minorEastAsia"/>
                <w:color w:val="000000"/>
                <w:kern w:val="0"/>
                <w:sz w:val="20"/>
                <w:szCs w:val="20"/>
                <w:lang w:val="en-US" w:eastAsia="zh-CN"/>
              </w:rPr>
            </w:pPr>
            <w:r>
              <w:rPr>
                <w:rFonts w:hint="eastAsia" w:asciiTheme="minorEastAsia" w:hAnsiTheme="minorEastAsia" w:eastAsiaTheme="minorEastAsia" w:cstheme="minorEastAsia"/>
                <w:color w:val="000000"/>
                <w:kern w:val="0"/>
                <w:sz w:val="20"/>
                <w:szCs w:val="20"/>
                <w:lang w:val="en-US" w:eastAsia="zh-CN"/>
              </w:rPr>
              <w:t>产出（30）</w:t>
            </w:r>
          </w:p>
        </w:tc>
        <w:tc>
          <w:tcPr>
            <w:tcW w:w="0" w:type="auto"/>
            <w:shd w:val="clear" w:color="auto" w:fill="auto"/>
            <w:vAlign w:val="center"/>
          </w:tcPr>
          <w:p>
            <w:pPr>
              <w:jc w:val="cente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质量指标</w:t>
            </w:r>
          </w:p>
        </w:tc>
        <w:tc>
          <w:tcPr>
            <w:tcW w:w="0" w:type="auto"/>
            <w:tcBorders>
              <w:bottom w:val="single" w:color="auto" w:sz="4" w:space="0"/>
            </w:tcBorders>
            <w:shd w:val="clear" w:color="auto" w:fill="auto"/>
            <w:vAlign w:val="center"/>
          </w:tcPr>
          <w:p>
            <w:pPr>
              <w:rPr>
                <w:rFonts w:hint="eastAsia" w:asciiTheme="minorEastAsia" w:hAnsiTheme="minorEastAsia" w:eastAsiaTheme="minorEastAsia" w:cstheme="minorEastAsia"/>
                <w:color w:val="000000"/>
                <w:sz w:val="20"/>
                <w:szCs w:val="20"/>
                <w:lang w:val="en-US" w:eastAsia="zh-CN"/>
              </w:rPr>
            </w:pPr>
            <w:r>
              <w:rPr>
                <w:rFonts w:hint="eastAsia" w:asciiTheme="minorEastAsia" w:hAnsiTheme="minorEastAsia" w:eastAsiaTheme="minorEastAsia" w:cstheme="minorEastAsia"/>
                <w:color w:val="000000"/>
                <w:sz w:val="20"/>
                <w:szCs w:val="20"/>
              </w:rPr>
              <w:t>部门产出质量提升及达到标准，支撑材料待进一步收集整理</w:t>
            </w:r>
          </w:p>
        </w:tc>
        <w:tc>
          <w:tcPr>
            <w:tcW w:w="0" w:type="auto"/>
            <w:shd w:val="clear" w:color="auto" w:fill="auto"/>
            <w:vAlign w:val="center"/>
          </w:tcPr>
          <w:p>
            <w:pP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部门产出质量提升及达到标准，支撑材料待进一步收集整理</w:t>
            </w:r>
          </w:p>
        </w:tc>
        <w:tc>
          <w:tcPr>
            <w:tcW w:w="0" w:type="auto"/>
            <w:vAlign w:val="center"/>
          </w:tcPr>
          <w:p>
            <w:pPr>
              <w:jc w:val="center"/>
              <w:rPr>
                <w:rFonts w:hint="eastAsia" w:asciiTheme="minorEastAsia" w:hAnsiTheme="minorEastAsia" w:eastAsiaTheme="minorEastAsia" w:cstheme="minorEastAsia"/>
                <w:color w:val="000000"/>
                <w:sz w:val="20"/>
                <w:szCs w:val="20"/>
                <w:lang w:val="en-US" w:eastAsia="zh-CN"/>
              </w:rPr>
            </w:pPr>
            <w:r>
              <w:rPr>
                <w:rFonts w:hint="eastAsia" w:asciiTheme="minorEastAsia" w:hAnsiTheme="minorEastAsia" w:eastAsiaTheme="minorEastAsia" w:cstheme="minorEastAsia"/>
                <w:color w:val="000000"/>
                <w:sz w:val="20"/>
                <w:szCs w:val="20"/>
                <w:lang w:val="en-US" w:eastAsia="zh-CN"/>
              </w:rPr>
              <w:t>10</w:t>
            </w:r>
          </w:p>
        </w:tc>
        <w:tc>
          <w:tcPr>
            <w:tcW w:w="0" w:type="auto"/>
            <w:noWrap/>
            <w:vAlign w:val="center"/>
          </w:tcPr>
          <w:p>
            <w:pPr>
              <w:jc w:val="center"/>
              <w:rPr>
                <w:rFonts w:hint="default" w:asciiTheme="minorEastAsia" w:hAnsiTheme="minorEastAsia" w:eastAsiaTheme="minorEastAsia" w:cstheme="minorEastAsia"/>
                <w:color w:val="000000"/>
                <w:sz w:val="20"/>
                <w:szCs w:val="20"/>
                <w:lang w:val="en-US" w:eastAsia="zh-CN"/>
              </w:rPr>
            </w:pPr>
            <w:r>
              <w:rPr>
                <w:rFonts w:hint="eastAsia" w:asciiTheme="minorEastAsia" w:hAnsiTheme="minorEastAsia" w:eastAsiaTheme="minorEastAsia" w:cstheme="minorEastAsia"/>
                <w:color w:val="000000"/>
                <w:sz w:val="20"/>
                <w:szCs w:val="20"/>
                <w:lang w:val="en-US" w:eastAsia="zh-CN"/>
              </w:rPr>
              <w:t>9.5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0" w:type="auto"/>
            <w:vMerge w:val="continue"/>
            <w:vAlign w:val="center"/>
          </w:tcPr>
          <w:p>
            <w:pPr>
              <w:widowControl/>
              <w:jc w:val="left"/>
              <w:rPr>
                <w:rFonts w:hint="eastAsia" w:asciiTheme="minorEastAsia" w:hAnsiTheme="minorEastAsia" w:eastAsiaTheme="minorEastAsia" w:cstheme="minorEastAsia"/>
                <w:color w:val="000000"/>
                <w:kern w:val="0"/>
                <w:sz w:val="20"/>
                <w:szCs w:val="20"/>
              </w:rPr>
            </w:pPr>
          </w:p>
        </w:tc>
        <w:tc>
          <w:tcPr>
            <w:tcW w:w="0" w:type="auto"/>
            <w:vMerge w:val="continue"/>
            <w:vAlign w:val="center"/>
          </w:tcPr>
          <w:p>
            <w:pPr>
              <w:widowControl/>
              <w:jc w:val="left"/>
              <w:rPr>
                <w:rFonts w:hint="eastAsia" w:asciiTheme="minorEastAsia" w:hAnsiTheme="minorEastAsia" w:eastAsiaTheme="minorEastAsia" w:cstheme="minorEastAsia"/>
                <w:color w:val="000000"/>
                <w:kern w:val="0"/>
                <w:sz w:val="20"/>
                <w:szCs w:val="20"/>
              </w:rPr>
            </w:pPr>
          </w:p>
        </w:tc>
        <w:tc>
          <w:tcPr>
            <w:tcW w:w="0" w:type="auto"/>
            <w:tcBorders>
              <w:bottom w:val="single" w:color="auto" w:sz="4" w:space="0"/>
            </w:tcBorders>
            <w:vAlign w:val="center"/>
          </w:tcPr>
          <w:p>
            <w:pPr>
              <w:jc w:val="cente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lang w:val="en-US" w:eastAsia="zh-CN"/>
              </w:rPr>
              <w:t>进度</w:t>
            </w:r>
            <w:r>
              <w:rPr>
                <w:rFonts w:hint="eastAsia" w:asciiTheme="minorEastAsia" w:hAnsiTheme="minorEastAsia" w:eastAsiaTheme="minorEastAsia" w:cstheme="minorEastAsia"/>
                <w:color w:val="000000"/>
                <w:sz w:val="20"/>
                <w:szCs w:val="20"/>
              </w:rPr>
              <w:t>指标</w:t>
            </w:r>
          </w:p>
        </w:tc>
        <w:tc>
          <w:tcPr>
            <w:tcW w:w="0" w:type="auto"/>
            <w:tcBorders>
              <w:top w:val="single" w:color="auto" w:sz="4" w:space="0"/>
              <w:bottom w:val="single" w:color="auto" w:sz="4" w:space="0"/>
              <w:right w:val="single" w:color="auto" w:sz="4" w:space="0"/>
            </w:tcBorders>
            <w:vAlign w:val="center"/>
          </w:tcPr>
          <w:p>
            <w:pPr>
              <w:jc w:val="left"/>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12月底前完成各项计划工作目标</w:t>
            </w:r>
          </w:p>
        </w:tc>
        <w:tc>
          <w:tcPr>
            <w:tcW w:w="0" w:type="auto"/>
            <w:tcBorders>
              <w:top w:val="single" w:color="auto" w:sz="4" w:space="0"/>
              <w:left w:val="single" w:color="auto" w:sz="4" w:space="0"/>
              <w:bottom w:val="single" w:color="auto" w:sz="4" w:space="0"/>
            </w:tcBorders>
            <w:vAlign w:val="center"/>
          </w:tcPr>
          <w:p>
            <w:pP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202</w:t>
            </w:r>
            <w:r>
              <w:rPr>
                <w:rFonts w:hint="eastAsia" w:asciiTheme="minorEastAsia" w:hAnsiTheme="minorEastAsia" w:eastAsiaTheme="minorEastAsia" w:cstheme="minorEastAsia"/>
                <w:color w:val="000000"/>
                <w:sz w:val="20"/>
                <w:szCs w:val="20"/>
                <w:lang w:val="en-US" w:eastAsia="zh-CN"/>
              </w:rPr>
              <w:t>4</w:t>
            </w:r>
            <w:r>
              <w:rPr>
                <w:rFonts w:hint="eastAsia" w:asciiTheme="minorEastAsia" w:hAnsiTheme="minorEastAsia" w:eastAsiaTheme="minorEastAsia" w:cstheme="minorEastAsia"/>
                <w:color w:val="000000"/>
                <w:sz w:val="20"/>
                <w:szCs w:val="20"/>
              </w:rPr>
              <w:t>年全年执行，个别项目结转　</w:t>
            </w:r>
          </w:p>
        </w:tc>
        <w:tc>
          <w:tcPr>
            <w:tcW w:w="0" w:type="auto"/>
            <w:vAlign w:val="center"/>
          </w:tcPr>
          <w:p>
            <w:pPr>
              <w:jc w:val="center"/>
              <w:rPr>
                <w:rFonts w:hint="eastAsia" w:asciiTheme="minorEastAsia" w:hAnsiTheme="minorEastAsia" w:eastAsiaTheme="minorEastAsia" w:cstheme="minorEastAsia"/>
                <w:color w:val="000000"/>
                <w:sz w:val="20"/>
                <w:szCs w:val="20"/>
                <w:lang w:val="en-US" w:eastAsia="zh-CN"/>
              </w:rPr>
            </w:pPr>
            <w:r>
              <w:rPr>
                <w:rFonts w:hint="eastAsia" w:asciiTheme="minorEastAsia" w:hAnsiTheme="minorEastAsia" w:eastAsiaTheme="minorEastAsia" w:cstheme="minorEastAsia"/>
                <w:color w:val="000000"/>
                <w:sz w:val="20"/>
                <w:szCs w:val="20"/>
                <w:lang w:val="en-US" w:eastAsia="zh-CN"/>
              </w:rPr>
              <w:t>5</w:t>
            </w:r>
          </w:p>
        </w:tc>
        <w:tc>
          <w:tcPr>
            <w:tcW w:w="0" w:type="auto"/>
            <w:tcBorders>
              <w:top w:val="single" w:color="auto" w:sz="4" w:space="0"/>
              <w:bottom w:val="single" w:color="auto" w:sz="4" w:space="0"/>
            </w:tcBorders>
            <w:noWrap/>
            <w:vAlign w:val="center"/>
          </w:tcPr>
          <w:p>
            <w:pPr>
              <w:jc w:val="center"/>
              <w:rPr>
                <w:rFonts w:hint="default" w:asciiTheme="minorEastAsia" w:hAnsiTheme="minorEastAsia" w:eastAsiaTheme="minorEastAsia" w:cstheme="minorEastAsia"/>
                <w:color w:val="000000"/>
                <w:sz w:val="20"/>
                <w:szCs w:val="20"/>
                <w:lang w:val="en-US" w:eastAsia="zh-CN"/>
              </w:rPr>
            </w:pPr>
            <w:r>
              <w:rPr>
                <w:rFonts w:hint="eastAsia" w:asciiTheme="minorEastAsia" w:hAnsiTheme="minorEastAsia" w:eastAsiaTheme="minorEastAsia" w:cstheme="minorEastAsia"/>
                <w:color w:val="000000"/>
                <w:sz w:val="20"/>
                <w:szCs w:val="20"/>
                <w:lang w:val="en-US" w:eastAsia="zh-CN"/>
              </w:rPr>
              <w:t>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0" w:type="auto"/>
            <w:vMerge w:val="continue"/>
            <w:vAlign w:val="center"/>
          </w:tcPr>
          <w:p>
            <w:pPr>
              <w:widowControl/>
              <w:jc w:val="left"/>
              <w:rPr>
                <w:rFonts w:hint="eastAsia" w:asciiTheme="minorEastAsia" w:hAnsiTheme="minorEastAsia" w:eastAsiaTheme="minorEastAsia" w:cstheme="minorEastAsia"/>
                <w:color w:val="000000"/>
                <w:kern w:val="0"/>
                <w:sz w:val="20"/>
                <w:szCs w:val="20"/>
              </w:rPr>
            </w:pPr>
          </w:p>
        </w:tc>
        <w:tc>
          <w:tcPr>
            <w:tcW w:w="0" w:type="auto"/>
            <w:vMerge w:val="continue"/>
            <w:vAlign w:val="center"/>
          </w:tcPr>
          <w:p>
            <w:pPr>
              <w:widowControl/>
              <w:jc w:val="left"/>
              <w:rPr>
                <w:rFonts w:hint="default" w:asciiTheme="minorEastAsia" w:hAnsiTheme="minorEastAsia" w:eastAsiaTheme="minorEastAsia" w:cstheme="minorEastAsia"/>
                <w:color w:val="000000"/>
                <w:kern w:val="0"/>
                <w:sz w:val="20"/>
                <w:szCs w:val="20"/>
                <w:lang w:val="en-US" w:eastAsia="zh-CN"/>
              </w:rPr>
            </w:pPr>
          </w:p>
        </w:tc>
        <w:tc>
          <w:tcPr>
            <w:tcW w:w="0" w:type="auto"/>
            <w:vMerge w:val="restart"/>
            <w:vAlign w:val="center"/>
          </w:tcPr>
          <w:p>
            <w:pPr>
              <w:jc w:val="center"/>
              <w:rPr>
                <w:rFonts w:hint="default" w:asciiTheme="minorEastAsia" w:hAnsiTheme="minorEastAsia" w:eastAsiaTheme="minorEastAsia" w:cstheme="minorEastAsia"/>
                <w:color w:val="000000"/>
                <w:sz w:val="20"/>
                <w:szCs w:val="20"/>
                <w:lang w:val="en-US" w:eastAsia="zh-CN"/>
              </w:rPr>
            </w:pPr>
            <w:r>
              <w:rPr>
                <w:rFonts w:hint="eastAsia" w:asciiTheme="minorEastAsia" w:hAnsiTheme="minorEastAsia" w:eastAsiaTheme="minorEastAsia" w:cstheme="minorEastAsia"/>
                <w:color w:val="000000"/>
                <w:sz w:val="20"/>
                <w:szCs w:val="20"/>
              </w:rPr>
              <w:t>成本</w:t>
            </w:r>
            <w:r>
              <w:rPr>
                <w:rFonts w:hint="eastAsia" w:asciiTheme="minorEastAsia" w:hAnsiTheme="minorEastAsia" w:eastAsiaTheme="minorEastAsia" w:cstheme="minorEastAsia"/>
                <w:color w:val="000000"/>
                <w:sz w:val="20"/>
                <w:szCs w:val="20"/>
                <w:lang w:val="en-US" w:eastAsia="zh-CN"/>
              </w:rPr>
              <w:t>指标</w:t>
            </w:r>
          </w:p>
        </w:tc>
        <w:tc>
          <w:tcPr>
            <w:tcW w:w="0" w:type="auto"/>
            <w:tcBorders>
              <w:top w:val="single" w:color="auto" w:sz="4" w:space="0"/>
              <w:bottom w:val="single" w:color="auto" w:sz="4" w:space="0"/>
              <w:right w:val="single" w:color="auto" w:sz="4" w:space="0"/>
            </w:tcBorders>
            <w:vAlign w:val="center"/>
          </w:tcPr>
          <w:p>
            <w:pP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年度预算实际执行</w:t>
            </w:r>
            <w:r>
              <w:rPr>
                <w:rFonts w:hint="eastAsia" w:asciiTheme="minorEastAsia" w:hAnsiTheme="minorEastAsia" w:eastAsiaTheme="minorEastAsia" w:cstheme="minorEastAsia"/>
                <w:color w:val="000000"/>
                <w:sz w:val="20"/>
                <w:szCs w:val="20"/>
                <w:lang w:val="en-US" w:eastAsia="zh-CN"/>
              </w:rPr>
              <w:t>≤</w:t>
            </w:r>
            <w:r>
              <w:rPr>
                <w:rFonts w:hint="eastAsia" w:asciiTheme="minorEastAsia" w:hAnsiTheme="minorEastAsia" w:eastAsiaTheme="minorEastAsia" w:cstheme="minorEastAsia"/>
                <w:color w:val="000000"/>
                <w:sz w:val="20"/>
                <w:szCs w:val="20"/>
              </w:rPr>
              <w:t>5434.317112</w:t>
            </w:r>
            <w:r>
              <w:rPr>
                <w:rFonts w:hint="eastAsia" w:asciiTheme="minorEastAsia" w:hAnsiTheme="minorEastAsia" w:eastAsiaTheme="minorEastAsia" w:cstheme="minorEastAsia"/>
                <w:color w:val="000000"/>
                <w:sz w:val="20"/>
                <w:szCs w:val="20"/>
                <w:lang w:val="en-US" w:eastAsia="zh-CN"/>
              </w:rPr>
              <w:t>万元</w:t>
            </w:r>
          </w:p>
        </w:tc>
        <w:tc>
          <w:tcPr>
            <w:tcW w:w="0" w:type="auto"/>
            <w:tcBorders>
              <w:top w:val="single" w:color="auto" w:sz="4" w:space="0"/>
              <w:left w:val="single" w:color="auto" w:sz="4" w:space="0"/>
              <w:bottom w:val="single" w:color="auto" w:sz="4" w:space="0"/>
            </w:tcBorders>
            <w:vAlign w:val="center"/>
          </w:tcPr>
          <w:p>
            <w:pP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年度预算执行4,961.52万元</w:t>
            </w:r>
          </w:p>
        </w:tc>
        <w:tc>
          <w:tcPr>
            <w:tcW w:w="0" w:type="auto"/>
            <w:vMerge w:val="restart"/>
            <w:vAlign w:val="center"/>
          </w:tcPr>
          <w:p>
            <w:pPr>
              <w:jc w:val="center"/>
              <w:rPr>
                <w:rFonts w:hint="eastAsia" w:asciiTheme="minorEastAsia" w:hAnsiTheme="minorEastAsia" w:eastAsiaTheme="minorEastAsia" w:cstheme="minorEastAsia"/>
                <w:color w:val="000000"/>
                <w:sz w:val="20"/>
                <w:szCs w:val="20"/>
                <w:lang w:val="en-US" w:eastAsia="zh-CN"/>
              </w:rPr>
            </w:pPr>
            <w:r>
              <w:rPr>
                <w:rFonts w:hint="eastAsia" w:asciiTheme="minorEastAsia" w:hAnsiTheme="minorEastAsia" w:eastAsiaTheme="minorEastAsia" w:cstheme="minorEastAsia"/>
                <w:color w:val="000000"/>
                <w:sz w:val="20"/>
                <w:szCs w:val="20"/>
                <w:lang w:val="en-US" w:eastAsia="zh-CN"/>
              </w:rPr>
              <w:t>5</w:t>
            </w:r>
          </w:p>
        </w:tc>
        <w:tc>
          <w:tcPr>
            <w:tcW w:w="0" w:type="auto"/>
            <w:vMerge w:val="restart"/>
            <w:tcBorders>
              <w:top w:val="single" w:color="auto" w:sz="4" w:space="0"/>
            </w:tcBorders>
            <w:noWrap/>
            <w:vAlign w:val="center"/>
          </w:tcPr>
          <w:p>
            <w:pPr>
              <w:jc w:val="center"/>
              <w:rPr>
                <w:rFonts w:hint="eastAsia" w:asciiTheme="minorEastAsia" w:hAnsiTheme="minorEastAsia" w:eastAsiaTheme="minorEastAsia" w:cstheme="minorEastAsia"/>
                <w:color w:val="000000"/>
                <w:sz w:val="20"/>
                <w:szCs w:val="20"/>
                <w:lang w:val="en-US" w:eastAsia="zh-CN"/>
              </w:rPr>
            </w:pPr>
            <w:r>
              <w:rPr>
                <w:rFonts w:hint="eastAsia" w:asciiTheme="minorEastAsia" w:hAnsiTheme="minorEastAsia" w:eastAsiaTheme="minorEastAsia" w:cstheme="minorEastAsia"/>
                <w:color w:val="000000"/>
                <w:sz w:val="20"/>
                <w:szCs w:val="20"/>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0" w:type="auto"/>
            <w:vMerge w:val="continue"/>
            <w:vAlign w:val="center"/>
          </w:tcPr>
          <w:p>
            <w:pPr>
              <w:widowControl/>
              <w:jc w:val="left"/>
              <w:rPr>
                <w:rFonts w:hint="eastAsia" w:asciiTheme="minorEastAsia" w:hAnsiTheme="minorEastAsia" w:eastAsiaTheme="minorEastAsia" w:cstheme="minorEastAsia"/>
                <w:color w:val="000000"/>
                <w:kern w:val="0"/>
                <w:sz w:val="20"/>
                <w:szCs w:val="20"/>
              </w:rPr>
            </w:pPr>
          </w:p>
        </w:tc>
        <w:tc>
          <w:tcPr>
            <w:tcW w:w="0" w:type="auto"/>
            <w:vMerge w:val="continue"/>
            <w:vAlign w:val="center"/>
          </w:tcPr>
          <w:p>
            <w:pPr>
              <w:widowControl/>
              <w:jc w:val="left"/>
              <w:rPr>
                <w:rFonts w:hint="eastAsia" w:asciiTheme="minorEastAsia" w:hAnsiTheme="minorEastAsia" w:eastAsiaTheme="minorEastAsia" w:cstheme="minorEastAsia"/>
                <w:color w:val="000000"/>
                <w:kern w:val="0"/>
                <w:sz w:val="20"/>
                <w:szCs w:val="20"/>
              </w:rPr>
            </w:pPr>
          </w:p>
        </w:tc>
        <w:tc>
          <w:tcPr>
            <w:tcW w:w="0" w:type="auto"/>
            <w:vMerge w:val="continue"/>
            <w:vAlign w:val="center"/>
          </w:tcPr>
          <w:p>
            <w:pPr>
              <w:jc w:val="center"/>
              <w:rPr>
                <w:rFonts w:hint="default" w:asciiTheme="minorEastAsia" w:hAnsiTheme="minorEastAsia" w:eastAsiaTheme="minorEastAsia" w:cstheme="minorEastAsia"/>
                <w:color w:val="000000"/>
                <w:sz w:val="20"/>
                <w:szCs w:val="20"/>
                <w:lang w:val="en-US" w:eastAsia="zh-CN"/>
              </w:rPr>
            </w:pPr>
          </w:p>
        </w:tc>
        <w:tc>
          <w:tcPr>
            <w:tcW w:w="0" w:type="auto"/>
            <w:tcBorders>
              <w:top w:val="single" w:color="auto" w:sz="4" w:space="0"/>
              <w:bottom w:val="single" w:color="auto" w:sz="4" w:space="0"/>
              <w:right w:val="single" w:color="auto" w:sz="4" w:space="0"/>
            </w:tcBorders>
            <w:vAlign w:val="center"/>
          </w:tcPr>
          <w:p>
            <w:pPr>
              <w:rPr>
                <w:rFonts w:hint="default" w:asciiTheme="minorEastAsia" w:hAnsiTheme="minorEastAsia" w:eastAsiaTheme="minorEastAsia" w:cstheme="minorEastAsia"/>
                <w:color w:val="000000"/>
                <w:sz w:val="20"/>
                <w:szCs w:val="20"/>
                <w:lang w:val="en-US" w:eastAsia="zh-CN"/>
              </w:rPr>
            </w:pPr>
            <w:r>
              <w:rPr>
                <w:rFonts w:hint="eastAsia" w:asciiTheme="minorEastAsia" w:hAnsiTheme="minorEastAsia" w:eastAsiaTheme="minorEastAsia" w:cstheme="minorEastAsia"/>
                <w:color w:val="000000"/>
                <w:sz w:val="20"/>
                <w:szCs w:val="20"/>
              </w:rPr>
              <w:t>北京市乡村空间高价值利用与乡村休闲旅游高质量发展预算控制数</w:t>
            </w:r>
            <w:r>
              <w:rPr>
                <w:rFonts w:hint="eastAsia" w:asciiTheme="minorEastAsia" w:hAnsiTheme="minorEastAsia" w:eastAsiaTheme="minorEastAsia" w:cstheme="minorEastAsia"/>
                <w:color w:val="000000"/>
                <w:sz w:val="20"/>
                <w:szCs w:val="20"/>
                <w:lang w:val="en-US" w:eastAsia="zh-CN"/>
              </w:rPr>
              <w:t>≤94.604万元</w:t>
            </w:r>
          </w:p>
        </w:tc>
        <w:tc>
          <w:tcPr>
            <w:tcW w:w="0" w:type="auto"/>
            <w:tcBorders>
              <w:top w:val="single" w:color="auto" w:sz="4" w:space="0"/>
              <w:left w:val="single" w:color="auto" w:sz="4" w:space="0"/>
              <w:bottom w:val="single" w:color="auto" w:sz="4" w:space="0"/>
            </w:tcBorders>
            <w:vAlign w:val="center"/>
          </w:tcPr>
          <w:p>
            <w:pP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年度预算执行</w:t>
            </w:r>
            <w:r>
              <w:rPr>
                <w:rFonts w:hint="eastAsia" w:asciiTheme="minorEastAsia" w:hAnsiTheme="minorEastAsia" w:eastAsiaTheme="minorEastAsia" w:cstheme="minorEastAsia"/>
                <w:color w:val="000000"/>
                <w:sz w:val="20"/>
                <w:szCs w:val="20"/>
                <w:lang w:val="en-US" w:eastAsia="zh-CN"/>
              </w:rPr>
              <w:t>94.42</w:t>
            </w:r>
            <w:r>
              <w:rPr>
                <w:rFonts w:hint="eastAsia" w:asciiTheme="minorEastAsia" w:hAnsiTheme="minorEastAsia" w:eastAsiaTheme="minorEastAsia" w:cstheme="minorEastAsia"/>
                <w:color w:val="000000"/>
                <w:sz w:val="20"/>
                <w:szCs w:val="20"/>
              </w:rPr>
              <w:t>2万元</w:t>
            </w:r>
          </w:p>
        </w:tc>
        <w:tc>
          <w:tcPr>
            <w:tcW w:w="0" w:type="auto"/>
            <w:vMerge w:val="continue"/>
            <w:vAlign w:val="center"/>
          </w:tcPr>
          <w:p>
            <w:pPr>
              <w:jc w:val="center"/>
              <w:rPr>
                <w:rFonts w:hint="default" w:asciiTheme="minorEastAsia" w:hAnsiTheme="minorEastAsia" w:eastAsiaTheme="minorEastAsia" w:cstheme="minorEastAsia"/>
                <w:color w:val="000000"/>
                <w:sz w:val="20"/>
                <w:szCs w:val="20"/>
                <w:lang w:val="en-US" w:eastAsia="zh-CN"/>
              </w:rPr>
            </w:pPr>
          </w:p>
        </w:tc>
        <w:tc>
          <w:tcPr>
            <w:tcW w:w="0" w:type="auto"/>
            <w:vMerge w:val="continue"/>
            <w:noWrap/>
            <w:vAlign w:val="center"/>
          </w:tcPr>
          <w:p>
            <w:pPr>
              <w:jc w:val="center"/>
              <w:rPr>
                <w:rFonts w:hint="default" w:asciiTheme="minorEastAsia" w:hAnsiTheme="minorEastAsia" w:eastAsiaTheme="minorEastAsia" w:cstheme="minorEastAsia"/>
                <w:color w:val="000000"/>
                <w:sz w:val="20"/>
                <w:szCs w:val="2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0" w:type="auto"/>
            <w:vMerge w:val="continue"/>
            <w:vAlign w:val="center"/>
          </w:tcPr>
          <w:p>
            <w:pPr>
              <w:widowControl/>
              <w:jc w:val="left"/>
              <w:rPr>
                <w:rFonts w:hint="eastAsia" w:asciiTheme="minorEastAsia" w:hAnsiTheme="minorEastAsia" w:eastAsiaTheme="minorEastAsia" w:cstheme="minorEastAsia"/>
                <w:color w:val="000000"/>
                <w:kern w:val="0"/>
                <w:sz w:val="20"/>
                <w:szCs w:val="20"/>
              </w:rPr>
            </w:pPr>
          </w:p>
        </w:tc>
        <w:tc>
          <w:tcPr>
            <w:tcW w:w="0" w:type="auto"/>
            <w:vMerge w:val="continue"/>
            <w:vAlign w:val="center"/>
          </w:tcPr>
          <w:p>
            <w:pPr>
              <w:widowControl/>
              <w:jc w:val="left"/>
              <w:rPr>
                <w:rFonts w:hint="eastAsia" w:asciiTheme="minorEastAsia" w:hAnsiTheme="minorEastAsia" w:eastAsiaTheme="minorEastAsia" w:cstheme="minorEastAsia"/>
                <w:color w:val="000000"/>
                <w:kern w:val="0"/>
                <w:sz w:val="20"/>
                <w:szCs w:val="20"/>
              </w:rPr>
            </w:pPr>
          </w:p>
        </w:tc>
        <w:tc>
          <w:tcPr>
            <w:tcW w:w="0" w:type="auto"/>
            <w:vMerge w:val="continue"/>
            <w:vAlign w:val="center"/>
          </w:tcPr>
          <w:p>
            <w:pPr>
              <w:jc w:val="center"/>
              <w:rPr>
                <w:rFonts w:hint="eastAsia" w:asciiTheme="minorEastAsia" w:hAnsiTheme="minorEastAsia" w:eastAsiaTheme="minorEastAsia" w:cstheme="minorEastAsia"/>
                <w:color w:val="000000"/>
                <w:sz w:val="20"/>
                <w:szCs w:val="20"/>
              </w:rPr>
            </w:pPr>
          </w:p>
        </w:tc>
        <w:tc>
          <w:tcPr>
            <w:tcW w:w="0" w:type="auto"/>
            <w:tcBorders>
              <w:top w:val="single" w:color="auto" w:sz="4" w:space="0"/>
              <w:bottom w:val="single" w:color="auto" w:sz="4" w:space="0"/>
              <w:right w:val="single" w:color="auto" w:sz="4" w:space="0"/>
            </w:tcBorders>
            <w:vAlign w:val="center"/>
          </w:tcPr>
          <w:p>
            <w:pPr>
              <w:rPr>
                <w:rFonts w:hint="default" w:asciiTheme="minorEastAsia" w:hAnsiTheme="minorEastAsia" w:eastAsiaTheme="minorEastAsia" w:cstheme="minorEastAsia"/>
                <w:color w:val="000000"/>
                <w:sz w:val="20"/>
                <w:szCs w:val="20"/>
                <w:lang w:val="en-US" w:eastAsia="zh-CN"/>
              </w:rPr>
            </w:pPr>
            <w:r>
              <w:rPr>
                <w:rFonts w:hint="eastAsia" w:asciiTheme="minorEastAsia" w:hAnsiTheme="minorEastAsia" w:eastAsiaTheme="minorEastAsia" w:cstheme="minorEastAsia"/>
                <w:color w:val="000000"/>
                <w:sz w:val="20"/>
                <w:szCs w:val="20"/>
              </w:rPr>
              <w:t>北京农村经济月刊和发展报告预算控制数</w:t>
            </w:r>
            <w:r>
              <w:rPr>
                <w:rFonts w:hint="eastAsia" w:asciiTheme="minorEastAsia" w:hAnsiTheme="minorEastAsia" w:eastAsiaTheme="minorEastAsia" w:cstheme="minorEastAsia"/>
                <w:color w:val="000000"/>
                <w:sz w:val="20"/>
                <w:szCs w:val="20"/>
                <w:lang w:val="en-US" w:eastAsia="zh-CN"/>
              </w:rPr>
              <w:t>≤116.3066万元</w:t>
            </w:r>
          </w:p>
        </w:tc>
        <w:tc>
          <w:tcPr>
            <w:tcW w:w="0" w:type="auto"/>
            <w:tcBorders>
              <w:top w:val="single" w:color="auto" w:sz="4" w:space="0"/>
              <w:left w:val="single" w:color="auto" w:sz="4" w:space="0"/>
              <w:bottom w:val="single" w:color="auto" w:sz="4" w:space="0"/>
            </w:tcBorders>
            <w:vAlign w:val="center"/>
          </w:tcPr>
          <w:p>
            <w:pP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年度预算执行</w:t>
            </w:r>
            <w:r>
              <w:rPr>
                <w:rFonts w:hint="eastAsia" w:asciiTheme="minorEastAsia" w:hAnsiTheme="minorEastAsia" w:eastAsiaTheme="minorEastAsia" w:cstheme="minorEastAsia"/>
                <w:color w:val="000000"/>
                <w:sz w:val="20"/>
                <w:szCs w:val="20"/>
                <w:lang w:val="en-US" w:eastAsia="zh-CN"/>
              </w:rPr>
              <w:t>111.43</w:t>
            </w:r>
            <w:r>
              <w:rPr>
                <w:rFonts w:hint="eastAsia" w:asciiTheme="minorEastAsia" w:hAnsiTheme="minorEastAsia" w:eastAsiaTheme="minorEastAsia" w:cstheme="minorEastAsia"/>
                <w:color w:val="000000"/>
                <w:sz w:val="20"/>
                <w:szCs w:val="20"/>
              </w:rPr>
              <w:t>万元</w:t>
            </w:r>
          </w:p>
        </w:tc>
        <w:tc>
          <w:tcPr>
            <w:tcW w:w="0" w:type="auto"/>
            <w:vMerge w:val="continue"/>
            <w:vAlign w:val="center"/>
          </w:tcPr>
          <w:p>
            <w:pPr>
              <w:jc w:val="center"/>
              <w:rPr>
                <w:rFonts w:hint="default" w:asciiTheme="minorEastAsia" w:hAnsiTheme="minorEastAsia" w:eastAsiaTheme="minorEastAsia" w:cstheme="minorEastAsia"/>
                <w:color w:val="000000"/>
                <w:sz w:val="20"/>
                <w:szCs w:val="20"/>
                <w:lang w:val="en-US" w:eastAsia="zh-CN"/>
              </w:rPr>
            </w:pPr>
          </w:p>
        </w:tc>
        <w:tc>
          <w:tcPr>
            <w:tcW w:w="0" w:type="auto"/>
            <w:vMerge w:val="continue"/>
            <w:noWrap/>
            <w:vAlign w:val="center"/>
          </w:tcPr>
          <w:p>
            <w:pPr>
              <w:jc w:val="center"/>
              <w:rPr>
                <w:rFonts w:hint="default" w:asciiTheme="minorEastAsia" w:hAnsiTheme="minorEastAsia" w:eastAsiaTheme="minorEastAsia" w:cstheme="minorEastAsia"/>
                <w:color w:val="000000"/>
                <w:sz w:val="20"/>
                <w:szCs w:val="2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0" w:type="auto"/>
            <w:vMerge w:val="continue"/>
            <w:vAlign w:val="center"/>
          </w:tcPr>
          <w:p>
            <w:pPr>
              <w:widowControl/>
              <w:jc w:val="left"/>
              <w:rPr>
                <w:rFonts w:hint="eastAsia" w:asciiTheme="minorEastAsia" w:hAnsiTheme="minorEastAsia" w:eastAsiaTheme="minorEastAsia" w:cstheme="minorEastAsia"/>
                <w:color w:val="000000"/>
                <w:kern w:val="0"/>
                <w:sz w:val="20"/>
                <w:szCs w:val="20"/>
              </w:rPr>
            </w:pPr>
          </w:p>
        </w:tc>
        <w:tc>
          <w:tcPr>
            <w:tcW w:w="0" w:type="auto"/>
            <w:vMerge w:val="continue"/>
            <w:vAlign w:val="center"/>
          </w:tcPr>
          <w:p>
            <w:pPr>
              <w:widowControl/>
              <w:jc w:val="left"/>
              <w:rPr>
                <w:rFonts w:hint="eastAsia" w:asciiTheme="minorEastAsia" w:hAnsiTheme="minorEastAsia" w:eastAsiaTheme="minorEastAsia" w:cstheme="minorEastAsia"/>
                <w:color w:val="000000"/>
                <w:kern w:val="0"/>
                <w:sz w:val="20"/>
                <w:szCs w:val="20"/>
              </w:rPr>
            </w:pPr>
          </w:p>
        </w:tc>
        <w:tc>
          <w:tcPr>
            <w:tcW w:w="0" w:type="auto"/>
            <w:vMerge w:val="continue"/>
            <w:vAlign w:val="center"/>
          </w:tcPr>
          <w:p>
            <w:pPr>
              <w:jc w:val="center"/>
              <w:rPr>
                <w:rFonts w:hint="eastAsia" w:asciiTheme="minorEastAsia" w:hAnsiTheme="minorEastAsia" w:eastAsiaTheme="minorEastAsia" w:cstheme="minorEastAsia"/>
                <w:color w:val="000000"/>
                <w:sz w:val="20"/>
                <w:szCs w:val="20"/>
              </w:rPr>
            </w:pPr>
          </w:p>
        </w:tc>
        <w:tc>
          <w:tcPr>
            <w:tcW w:w="0" w:type="auto"/>
            <w:tcBorders>
              <w:top w:val="single" w:color="auto" w:sz="4" w:space="0"/>
              <w:bottom w:val="single" w:color="auto" w:sz="4" w:space="0"/>
              <w:right w:val="single" w:color="auto" w:sz="4" w:space="0"/>
            </w:tcBorders>
            <w:vAlign w:val="center"/>
          </w:tcPr>
          <w:p>
            <w:pPr>
              <w:rPr>
                <w:rFonts w:hint="default" w:asciiTheme="minorEastAsia" w:hAnsiTheme="minorEastAsia" w:eastAsiaTheme="minorEastAsia" w:cstheme="minorEastAsia"/>
                <w:color w:val="000000"/>
                <w:sz w:val="20"/>
                <w:szCs w:val="20"/>
                <w:lang w:val="en-US"/>
              </w:rPr>
            </w:pPr>
            <w:r>
              <w:rPr>
                <w:rFonts w:hint="eastAsia" w:asciiTheme="minorEastAsia" w:hAnsiTheme="minorEastAsia" w:eastAsiaTheme="minorEastAsia" w:cstheme="minorEastAsia"/>
                <w:color w:val="000000"/>
                <w:sz w:val="20"/>
                <w:szCs w:val="20"/>
              </w:rPr>
              <w:t>北京市乡村振兴专家咨询委员会专项经费预算控制数</w:t>
            </w:r>
            <w:r>
              <w:rPr>
                <w:rFonts w:hint="eastAsia" w:asciiTheme="minorEastAsia" w:hAnsiTheme="minorEastAsia" w:eastAsiaTheme="minorEastAsia" w:cstheme="minorEastAsia"/>
                <w:color w:val="000000"/>
                <w:sz w:val="20"/>
                <w:szCs w:val="20"/>
                <w:lang w:val="en-US" w:eastAsia="zh-CN"/>
              </w:rPr>
              <w:t>≤619.895万元</w:t>
            </w:r>
          </w:p>
        </w:tc>
        <w:tc>
          <w:tcPr>
            <w:tcW w:w="0" w:type="auto"/>
            <w:tcBorders>
              <w:top w:val="single" w:color="auto" w:sz="4" w:space="0"/>
              <w:left w:val="single" w:color="auto" w:sz="4" w:space="0"/>
              <w:bottom w:val="single" w:color="auto" w:sz="4" w:space="0"/>
            </w:tcBorders>
            <w:vAlign w:val="center"/>
          </w:tcPr>
          <w:p>
            <w:pP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年度预算执行</w:t>
            </w:r>
            <w:r>
              <w:rPr>
                <w:rFonts w:hint="eastAsia" w:asciiTheme="minorEastAsia" w:hAnsiTheme="minorEastAsia" w:eastAsiaTheme="minorEastAsia" w:cstheme="minorEastAsia"/>
                <w:color w:val="000000"/>
                <w:sz w:val="20"/>
                <w:szCs w:val="20"/>
                <w:lang w:val="en-US" w:eastAsia="zh-CN"/>
              </w:rPr>
              <w:t>599.27</w:t>
            </w:r>
            <w:r>
              <w:rPr>
                <w:rFonts w:hint="eastAsia" w:asciiTheme="minorEastAsia" w:hAnsiTheme="minorEastAsia" w:eastAsiaTheme="minorEastAsia" w:cstheme="minorEastAsia"/>
                <w:color w:val="000000"/>
                <w:sz w:val="20"/>
                <w:szCs w:val="20"/>
              </w:rPr>
              <w:t>万元</w:t>
            </w:r>
          </w:p>
        </w:tc>
        <w:tc>
          <w:tcPr>
            <w:tcW w:w="0" w:type="auto"/>
            <w:vMerge w:val="continue"/>
            <w:vAlign w:val="center"/>
          </w:tcPr>
          <w:p>
            <w:pPr>
              <w:jc w:val="center"/>
              <w:rPr>
                <w:rFonts w:hint="default" w:asciiTheme="minorEastAsia" w:hAnsiTheme="minorEastAsia" w:eastAsiaTheme="minorEastAsia" w:cstheme="minorEastAsia"/>
                <w:color w:val="000000"/>
                <w:sz w:val="20"/>
                <w:szCs w:val="20"/>
                <w:lang w:val="en-US" w:eastAsia="zh-CN"/>
              </w:rPr>
            </w:pPr>
          </w:p>
        </w:tc>
        <w:tc>
          <w:tcPr>
            <w:tcW w:w="0" w:type="auto"/>
            <w:vMerge w:val="continue"/>
            <w:noWrap/>
            <w:vAlign w:val="center"/>
          </w:tcPr>
          <w:p>
            <w:pPr>
              <w:jc w:val="center"/>
              <w:rPr>
                <w:rFonts w:hint="default" w:asciiTheme="minorEastAsia" w:hAnsiTheme="minorEastAsia" w:eastAsiaTheme="minorEastAsia" w:cstheme="minorEastAsia"/>
                <w:color w:val="000000"/>
                <w:sz w:val="20"/>
                <w:szCs w:val="2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0" w:type="auto"/>
            <w:vMerge w:val="continue"/>
            <w:vAlign w:val="center"/>
          </w:tcPr>
          <w:p>
            <w:pPr>
              <w:widowControl/>
              <w:jc w:val="left"/>
              <w:rPr>
                <w:rFonts w:hint="eastAsia" w:asciiTheme="minorEastAsia" w:hAnsiTheme="minorEastAsia" w:eastAsiaTheme="minorEastAsia" w:cstheme="minorEastAsia"/>
                <w:color w:val="000000"/>
                <w:kern w:val="0"/>
                <w:sz w:val="20"/>
                <w:szCs w:val="20"/>
              </w:rPr>
            </w:pPr>
          </w:p>
        </w:tc>
        <w:tc>
          <w:tcPr>
            <w:tcW w:w="0" w:type="auto"/>
            <w:vMerge w:val="continue"/>
            <w:vAlign w:val="center"/>
          </w:tcPr>
          <w:p>
            <w:pPr>
              <w:widowControl/>
              <w:jc w:val="left"/>
              <w:rPr>
                <w:rFonts w:hint="eastAsia" w:asciiTheme="minorEastAsia" w:hAnsiTheme="minorEastAsia" w:eastAsiaTheme="minorEastAsia" w:cstheme="minorEastAsia"/>
                <w:color w:val="000000"/>
                <w:kern w:val="0"/>
                <w:sz w:val="20"/>
                <w:szCs w:val="20"/>
              </w:rPr>
            </w:pPr>
          </w:p>
        </w:tc>
        <w:tc>
          <w:tcPr>
            <w:tcW w:w="0" w:type="auto"/>
            <w:vMerge w:val="continue"/>
            <w:tcBorders>
              <w:bottom w:val="single" w:color="auto" w:sz="4" w:space="0"/>
            </w:tcBorders>
            <w:vAlign w:val="center"/>
          </w:tcPr>
          <w:p>
            <w:pPr>
              <w:jc w:val="center"/>
              <w:rPr>
                <w:rFonts w:hint="eastAsia" w:asciiTheme="minorEastAsia" w:hAnsiTheme="minorEastAsia" w:eastAsiaTheme="minorEastAsia" w:cstheme="minorEastAsia"/>
                <w:color w:val="000000"/>
                <w:sz w:val="20"/>
                <w:szCs w:val="20"/>
              </w:rPr>
            </w:pPr>
          </w:p>
        </w:tc>
        <w:tc>
          <w:tcPr>
            <w:tcW w:w="0" w:type="auto"/>
            <w:tcBorders>
              <w:top w:val="single" w:color="auto" w:sz="4" w:space="0"/>
              <w:bottom w:val="single" w:color="auto" w:sz="4" w:space="0"/>
              <w:right w:val="single" w:color="auto" w:sz="4" w:space="0"/>
            </w:tcBorders>
            <w:vAlign w:val="center"/>
          </w:tcPr>
          <w:p>
            <w:pPr>
              <w:rPr>
                <w:rFonts w:hint="default" w:asciiTheme="minorEastAsia" w:hAnsiTheme="minorEastAsia" w:eastAsiaTheme="minorEastAsia" w:cstheme="minorEastAsia"/>
                <w:color w:val="000000"/>
                <w:sz w:val="20"/>
                <w:szCs w:val="20"/>
                <w:lang w:val="en-US" w:eastAsia="zh-CN"/>
              </w:rPr>
            </w:pPr>
            <w:r>
              <w:rPr>
                <w:rFonts w:hint="eastAsia" w:asciiTheme="minorEastAsia" w:hAnsiTheme="minorEastAsia" w:eastAsiaTheme="minorEastAsia" w:cstheme="minorEastAsia"/>
                <w:color w:val="000000"/>
                <w:sz w:val="20"/>
                <w:szCs w:val="20"/>
              </w:rPr>
              <w:t>北京郊区100个村集体经济运行状况跟踪监测项目预算控制数</w:t>
            </w:r>
            <w:r>
              <w:rPr>
                <w:rFonts w:hint="eastAsia" w:asciiTheme="minorEastAsia" w:hAnsiTheme="minorEastAsia" w:eastAsiaTheme="minorEastAsia" w:cstheme="minorEastAsia"/>
                <w:color w:val="000000"/>
                <w:sz w:val="20"/>
                <w:szCs w:val="20"/>
                <w:lang w:val="en-US" w:eastAsia="zh-CN"/>
              </w:rPr>
              <w:t>≤159.69万元</w:t>
            </w:r>
          </w:p>
        </w:tc>
        <w:tc>
          <w:tcPr>
            <w:tcW w:w="0" w:type="auto"/>
            <w:tcBorders>
              <w:top w:val="single" w:color="auto" w:sz="4" w:space="0"/>
              <w:left w:val="single" w:color="auto" w:sz="4" w:space="0"/>
              <w:bottom w:val="single" w:color="auto" w:sz="4" w:space="0"/>
            </w:tcBorders>
            <w:vAlign w:val="center"/>
          </w:tcPr>
          <w:p>
            <w:pP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年度预算执行</w:t>
            </w:r>
            <w:r>
              <w:rPr>
                <w:rFonts w:hint="eastAsia" w:asciiTheme="minorEastAsia" w:hAnsiTheme="minorEastAsia" w:eastAsiaTheme="minorEastAsia" w:cstheme="minorEastAsia"/>
                <w:color w:val="000000"/>
                <w:sz w:val="20"/>
                <w:szCs w:val="20"/>
                <w:lang w:val="en-US" w:eastAsia="zh-CN"/>
              </w:rPr>
              <w:t>157.66</w:t>
            </w:r>
            <w:r>
              <w:rPr>
                <w:rFonts w:hint="eastAsia" w:asciiTheme="minorEastAsia" w:hAnsiTheme="minorEastAsia" w:eastAsiaTheme="minorEastAsia" w:cstheme="minorEastAsia"/>
                <w:color w:val="000000"/>
                <w:sz w:val="20"/>
                <w:szCs w:val="20"/>
              </w:rPr>
              <w:t>万元</w:t>
            </w:r>
          </w:p>
        </w:tc>
        <w:tc>
          <w:tcPr>
            <w:tcW w:w="0" w:type="auto"/>
            <w:vMerge w:val="continue"/>
            <w:tcBorders>
              <w:bottom w:val="single" w:color="auto" w:sz="4" w:space="0"/>
            </w:tcBorders>
            <w:vAlign w:val="center"/>
          </w:tcPr>
          <w:p>
            <w:pPr>
              <w:jc w:val="center"/>
              <w:rPr>
                <w:rFonts w:hint="default" w:asciiTheme="minorEastAsia" w:hAnsiTheme="minorEastAsia" w:eastAsiaTheme="minorEastAsia" w:cstheme="minorEastAsia"/>
                <w:color w:val="000000"/>
                <w:sz w:val="20"/>
                <w:szCs w:val="20"/>
                <w:lang w:val="en-US" w:eastAsia="zh-CN"/>
              </w:rPr>
            </w:pPr>
          </w:p>
        </w:tc>
        <w:tc>
          <w:tcPr>
            <w:tcW w:w="0" w:type="auto"/>
            <w:vMerge w:val="continue"/>
            <w:tcBorders>
              <w:bottom w:val="single" w:color="auto" w:sz="4" w:space="0"/>
            </w:tcBorders>
            <w:noWrap/>
            <w:vAlign w:val="center"/>
          </w:tcPr>
          <w:p>
            <w:pPr>
              <w:jc w:val="center"/>
              <w:rPr>
                <w:rFonts w:hint="default" w:asciiTheme="minorEastAsia" w:hAnsiTheme="minorEastAsia" w:eastAsiaTheme="minorEastAsia" w:cstheme="minorEastAsia"/>
                <w:color w:val="000000"/>
                <w:sz w:val="20"/>
                <w:szCs w:val="2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3" w:hRule="atLeast"/>
        </w:trPr>
        <w:tc>
          <w:tcPr>
            <w:tcW w:w="0" w:type="auto"/>
            <w:vMerge w:val="continue"/>
            <w:vAlign w:val="center"/>
          </w:tcPr>
          <w:p>
            <w:pPr>
              <w:widowControl/>
              <w:jc w:val="left"/>
              <w:rPr>
                <w:rFonts w:hint="eastAsia" w:asciiTheme="minorEastAsia" w:hAnsiTheme="minorEastAsia" w:eastAsiaTheme="minorEastAsia" w:cstheme="minorEastAsia"/>
                <w:color w:val="000000"/>
                <w:kern w:val="0"/>
                <w:sz w:val="20"/>
                <w:szCs w:val="20"/>
              </w:rPr>
            </w:pPr>
          </w:p>
        </w:tc>
        <w:tc>
          <w:tcPr>
            <w:tcW w:w="0" w:type="auto"/>
            <w:vMerge w:val="restart"/>
            <w:tcBorders>
              <w:right w:val="single" w:color="auto" w:sz="4" w:space="0"/>
            </w:tcBorders>
            <w:vAlign w:val="center"/>
          </w:tcPr>
          <w:p>
            <w:pPr>
              <w:widowControl/>
              <w:jc w:val="center"/>
              <w:rPr>
                <w:rFonts w:hint="eastAsia" w:asciiTheme="minorEastAsia" w:hAnsiTheme="minorEastAsia" w:eastAsiaTheme="minorEastAsia" w:cstheme="minorEastAsia"/>
                <w:color w:val="000000"/>
                <w:kern w:val="0"/>
                <w:sz w:val="20"/>
                <w:szCs w:val="20"/>
              </w:rPr>
            </w:pPr>
            <w:r>
              <w:rPr>
                <w:rFonts w:hint="eastAsia" w:asciiTheme="minorEastAsia" w:hAnsiTheme="minorEastAsia" w:eastAsiaTheme="minorEastAsia" w:cstheme="minorEastAsia"/>
                <w:color w:val="000000"/>
                <w:kern w:val="0"/>
                <w:sz w:val="20"/>
                <w:szCs w:val="20"/>
              </w:rPr>
              <w:t>效果（30）</w:t>
            </w:r>
          </w:p>
        </w:tc>
        <w:tc>
          <w:tcPr>
            <w:tcW w:w="0" w:type="auto"/>
            <w:vMerge w:val="restart"/>
            <w:tcBorders>
              <w:top w:val="single" w:color="auto" w:sz="4" w:space="0"/>
              <w:left w:val="single" w:color="auto" w:sz="4" w:space="0"/>
              <w:right w:val="single" w:color="auto" w:sz="4" w:space="0"/>
            </w:tcBorders>
            <w:vAlign w:val="center"/>
          </w:tcPr>
          <w:p>
            <w:pPr>
              <w:jc w:val="cente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社会效益</w:t>
            </w:r>
          </w:p>
        </w:tc>
        <w:tc>
          <w:tcPr>
            <w:tcW w:w="0" w:type="auto"/>
            <w:tcBorders>
              <w:top w:val="single" w:color="auto" w:sz="4" w:space="0"/>
              <w:left w:val="single" w:color="auto" w:sz="4" w:space="0"/>
              <w:bottom w:val="single" w:color="auto" w:sz="4" w:space="0"/>
              <w:right w:val="single" w:color="auto" w:sz="4" w:space="0"/>
            </w:tcBorders>
            <w:vAlign w:val="center"/>
          </w:tcPr>
          <w:p>
            <w:pPr>
              <w:rPr>
                <w:rFonts w:hint="default" w:asciiTheme="minorEastAsia" w:hAnsiTheme="minorEastAsia" w:eastAsiaTheme="minorEastAsia" w:cstheme="minorEastAsia"/>
                <w:color w:val="000000"/>
                <w:sz w:val="20"/>
                <w:szCs w:val="20"/>
                <w:lang w:val="en-US" w:eastAsia="zh-CN"/>
              </w:rPr>
            </w:pPr>
            <w:r>
              <w:rPr>
                <w:rFonts w:hint="eastAsia" w:asciiTheme="minorEastAsia" w:hAnsiTheme="minorEastAsia" w:eastAsiaTheme="minorEastAsia" w:cstheme="minorEastAsia"/>
                <w:color w:val="000000"/>
                <w:sz w:val="20"/>
                <w:szCs w:val="20"/>
              </w:rPr>
              <w:t>研究成果采纳率</w:t>
            </w:r>
            <w:r>
              <w:rPr>
                <w:rFonts w:hint="eastAsia" w:asciiTheme="minorEastAsia" w:hAnsiTheme="minorEastAsia" w:eastAsiaTheme="minorEastAsia" w:cstheme="minorEastAsia"/>
                <w:color w:val="000000"/>
                <w:sz w:val="20"/>
                <w:szCs w:val="20"/>
                <w:lang w:val="en-US" w:eastAsia="zh-CN"/>
              </w:rPr>
              <w:t>≥60%</w:t>
            </w:r>
          </w:p>
        </w:tc>
        <w:tc>
          <w:tcPr>
            <w:tcW w:w="0" w:type="auto"/>
            <w:tcBorders>
              <w:top w:val="single" w:color="auto" w:sz="4" w:space="0"/>
              <w:left w:val="single" w:color="auto" w:sz="4" w:space="0"/>
              <w:right w:val="single" w:color="auto" w:sz="4" w:space="0"/>
            </w:tcBorders>
            <w:vAlign w:val="center"/>
          </w:tcPr>
          <w:p>
            <w:pP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基本达到预期目标</w:t>
            </w:r>
          </w:p>
        </w:tc>
        <w:tc>
          <w:tcPr>
            <w:tcW w:w="0" w:type="auto"/>
            <w:vMerge w:val="restart"/>
            <w:tcBorders>
              <w:top w:val="single" w:color="auto" w:sz="4" w:space="0"/>
              <w:left w:val="single" w:color="auto" w:sz="4" w:space="0"/>
              <w:right w:val="single" w:color="auto" w:sz="4" w:space="0"/>
            </w:tcBorders>
            <w:noWrap/>
            <w:vAlign w:val="center"/>
          </w:tcPr>
          <w:p>
            <w:pPr>
              <w:jc w:val="center"/>
              <w:rPr>
                <w:rFonts w:hint="eastAsia" w:asciiTheme="minorEastAsia" w:hAnsiTheme="minorEastAsia" w:eastAsiaTheme="minorEastAsia" w:cstheme="minorEastAsia"/>
                <w:color w:val="000000"/>
                <w:sz w:val="20"/>
                <w:szCs w:val="20"/>
                <w:lang w:val="en-US" w:eastAsia="zh-CN"/>
              </w:rPr>
            </w:pPr>
            <w:r>
              <w:rPr>
                <w:rFonts w:hint="eastAsia" w:asciiTheme="minorEastAsia" w:hAnsiTheme="minorEastAsia" w:eastAsiaTheme="minorEastAsia" w:cstheme="minorEastAsia"/>
                <w:color w:val="000000"/>
                <w:sz w:val="20"/>
                <w:szCs w:val="20"/>
                <w:lang w:val="en-US" w:eastAsia="zh-CN"/>
              </w:rPr>
              <w:t>7</w:t>
            </w:r>
          </w:p>
        </w:tc>
        <w:tc>
          <w:tcPr>
            <w:tcW w:w="0" w:type="auto"/>
            <w:vMerge w:val="restart"/>
            <w:tcBorders>
              <w:top w:val="single" w:color="auto" w:sz="4" w:space="0"/>
              <w:left w:val="single" w:color="auto" w:sz="4" w:space="0"/>
              <w:right w:val="single" w:color="auto" w:sz="4" w:space="0"/>
            </w:tcBorders>
            <w:noWrap/>
            <w:vAlign w:val="center"/>
          </w:tcPr>
          <w:p>
            <w:pPr>
              <w:jc w:val="center"/>
              <w:rPr>
                <w:rFonts w:hint="default" w:asciiTheme="minorEastAsia" w:hAnsiTheme="minorEastAsia" w:eastAsiaTheme="minorEastAsia" w:cstheme="minorEastAsia"/>
                <w:color w:val="000000"/>
                <w:sz w:val="20"/>
                <w:szCs w:val="20"/>
                <w:lang w:val="en-US" w:eastAsia="zh-CN"/>
              </w:rPr>
            </w:pPr>
            <w:r>
              <w:rPr>
                <w:rFonts w:hint="eastAsia" w:asciiTheme="minorEastAsia" w:hAnsiTheme="minorEastAsia" w:eastAsiaTheme="minorEastAsia" w:cstheme="minorEastAsia"/>
                <w:color w:val="000000"/>
                <w:sz w:val="20"/>
                <w:szCs w:val="20"/>
                <w:lang w:val="en-US" w:eastAsia="zh-CN"/>
              </w:rPr>
              <w:t>6.5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1" w:hRule="atLeast"/>
        </w:trPr>
        <w:tc>
          <w:tcPr>
            <w:tcW w:w="0" w:type="auto"/>
            <w:vMerge w:val="continue"/>
            <w:vAlign w:val="center"/>
          </w:tcPr>
          <w:p>
            <w:pPr>
              <w:widowControl/>
              <w:jc w:val="left"/>
              <w:rPr>
                <w:rFonts w:hint="eastAsia" w:asciiTheme="minorEastAsia" w:hAnsiTheme="minorEastAsia" w:eastAsiaTheme="minorEastAsia" w:cstheme="minorEastAsia"/>
                <w:color w:val="000000"/>
                <w:kern w:val="0"/>
                <w:sz w:val="20"/>
                <w:szCs w:val="20"/>
              </w:rPr>
            </w:pPr>
          </w:p>
        </w:tc>
        <w:tc>
          <w:tcPr>
            <w:tcW w:w="0" w:type="auto"/>
            <w:vMerge w:val="continue"/>
            <w:vAlign w:val="center"/>
          </w:tcPr>
          <w:p>
            <w:pPr>
              <w:widowControl/>
              <w:jc w:val="left"/>
              <w:rPr>
                <w:rFonts w:hint="eastAsia" w:asciiTheme="minorEastAsia" w:hAnsiTheme="minorEastAsia" w:eastAsiaTheme="minorEastAsia" w:cstheme="minorEastAsia"/>
                <w:color w:val="000000"/>
                <w:kern w:val="0"/>
                <w:sz w:val="20"/>
                <w:szCs w:val="20"/>
              </w:rPr>
            </w:pPr>
          </w:p>
        </w:tc>
        <w:tc>
          <w:tcPr>
            <w:tcW w:w="0" w:type="auto"/>
            <w:vMerge w:val="continue"/>
            <w:tcBorders>
              <w:left w:val="single" w:color="auto" w:sz="4" w:space="0"/>
              <w:right w:val="single" w:color="auto" w:sz="4" w:space="0"/>
            </w:tcBorders>
            <w:vAlign w:val="center"/>
          </w:tcPr>
          <w:p>
            <w:pPr>
              <w:jc w:val="center"/>
              <w:rPr>
                <w:rFonts w:hint="eastAsia" w:asciiTheme="minorEastAsia" w:hAnsiTheme="minorEastAsia" w:eastAsiaTheme="minorEastAsia" w:cstheme="minorEastAsia"/>
                <w:color w:val="000000"/>
                <w:sz w:val="20"/>
                <w:szCs w:val="20"/>
              </w:rPr>
            </w:pPr>
          </w:p>
        </w:tc>
        <w:tc>
          <w:tcPr>
            <w:tcW w:w="0" w:type="auto"/>
            <w:vAlign w:val="center"/>
          </w:tcPr>
          <w:p>
            <w:pP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研究成果采纳率≥60%</w:t>
            </w:r>
          </w:p>
        </w:tc>
        <w:tc>
          <w:tcPr>
            <w:tcW w:w="0" w:type="auto"/>
            <w:tcBorders>
              <w:right w:val="single" w:color="auto" w:sz="4" w:space="0"/>
            </w:tcBorders>
            <w:vAlign w:val="center"/>
          </w:tcPr>
          <w:p>
            <w:pP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基本达到预期目标</w:t>
            </w:r>
          </w:p>
        </w:tc>
        <w:tc>
          <w:tcPr>
            <w:tcW w:w="0" w:type="auto"/>
            <w:vMerge w:val="continue"/>
            <w:tcBorders>
              <w:left w:val="single" w:color="auto" w:sz="4" w:space="0"/>
              <w:right w:val="single" w:color="auto" w:sz="4" w:space="0"/>
            </w:tcBorders>
            <w:vAlign w:val="center"/>
          </w:tcPr>
          <w:p>
            <w:pPr>
              <w:jc w:val="center"/>
              <w:rPr>
                <w:rFonts w:hint="eastAsia" w:asciiTheme="minorEastAsia" w:hAnsiTheme="minorEastAsia" w:eastAsiaTheme="minorEastAsia" w:cstheme="minorEastAsia"/>
                <w:color w:val="000000"/>
                <w:sz w:val="20"/>
                <w:szCs w:val="20"/>
                <w:lang w:val="en-US" w:eastAsia="zh-CN"/>
              </w:rPr>
            </w:pPr>
          </w:p>
        </w:tc>
        <w:tc>
          <w:tcPr>
            <w:tcW w:w="0" w:type="auto"/>
            <w:vMerge w:val="continue"/>
            <w:tcBorders>
              <w:left w:val="single" w:color="auto" w:sz="4" w:space="0"/>
              <w:right w:val="single" w:color="auto" w:sz="4" w:space="0"/>
            </w:tcBorders>
            <w:noWrap/>
            <w:vAlign w:val="center"/>
          </w:tcPr>
          <w:p>
            <w:pPr>
              <w:jc w:val="center"/>
              <w:rPr>
                <w:rFonts w:hint="eastAsia" w:asciiTheme="minorEastAsia" w:hAnsiTheme="minorEastAsia" w:eastAsiaTheme="minorEastAsia" w:cstheme="minorEastAsia"/>
                <w:color w:val="000000"/>
                <w:sz w:val="20"/>
                <w:szCs w:val="2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2" w:hRule="atLeast"/>
        </w:trPr>
        <w:tc>
          <w:tcPr>
            <w:tcW w:w="0" w:type="auto"/>
            <w:vMerge w:val="continue"/>
            <w:vAlign w:val="center"/>
          </w:tcPr>
          <w:p>
            <w:pPr>
              <w:widowControl/>
              <w:jc w:val="left"/>
              <w:rPr>
                <w:rFonts w:hint="eastAsia" w:asciiTheme="minorEastAsia" w:hAnsiTheme="minorEastAsia" w:eastAsiaTheme="minorEastAsia" w:cstheme="minorEastAsia"/>
                <w:color w:val="000000"/>
                <w:kern w:val="0"/>
                <w:sz w:val="20"/>
                <w:szCs w:val="20"/>
              </w:rPr>
            </w:pPr>
          </w:p>
        </w:tc>
        <w:tc>
          <w:tcPr>
            <w:tcW w:w="0" w:type="auto"/>
            <w:vMerge w:val="continue"/>
            <w:vAlign w:val="center"/>
          </w:tcPr>
          <w:p>
            <w:pPr>
              <w:widowControl/>
              <w:jc w:val="left"/>
              <w:rPr>
                <w:rFonts w:hint="eastAsia" w:asciiTheme="minorEastAsia" w:hAnsiTheme="minorEastAsia" w:eastAsiaTheme="minorEastAsia" w:cstheme="minorEastAsia"/>
                <w:color w:val="000000"/>
                <w:kern w:val="0"/>
                <w:sz w:val="20"/>
                <w:szCs w:val="20"/>
              </w:rPr>
            </w:pPr>
          </w:p>
        </w:tc>
        <w:tc>
          <w:tcPr>
            <w:tcW w:w="0" w:type="auto"/>
            <w:vMerge w:val="continue"/>
            <w:tcBorders>
              <w:left w:val="single" w:color="auto" w:sz="4" w:space="0"/>
              <w:right w:val="single" w:color="auto" w:sz="4" w:space="0"/>
            </w:tcBorders>
            <w:vAlign w:val="center"/>
          </w:tcPr>
          <w:p>
            <w:pPr>
              <w:jc w:val="center"/>
              <w:rPr>
                <w:rFonts w:hint="eastAsia" w:asciiTheme="minorEastAsia" w:hAnsiTheme="minorEastAsia" w:eastAsiaTheme="minorEastAsia" w:cstheme="minorEastAsia"/>
                <w:color w:val="000000"/>
                <w:sz w:val="20"/>
                <w:szCs w:val="20"/>
              </w:rPr>
            </w:pPr>
          </w:p>
        </w:tc>
        <w:tc>
          <w:tcPr>
            <w:tcW w:w="0" w:type="auto"/>
            <w:vAlign w:val="center"/>
          </w:tcPr>
          <w:p>
            <w:pP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为北京市率先基本实现农业农村现代化提供基础支撑</w:t>
            </w:r>
          </w:p>
        </w:tc>
        <w:tc>
          <w:tcPr>
            <w:tcW w:w="0" w:type="auto"/>
            <w:tcBorders>
              <w:right w:val="single" w:color="auto" w:sz="4" w:space="0"/>
            </w:tcBorders>
            <w:vAlign w:val="center"/>
          </w:tcPr>
          <w:p>
            <w:pP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基本达到预期目标</w:t>
            </w:r>
          </w:p>
        </w:tc>
        <w:tc>
          <w:tcPr>
            <w:tcW w:w="0" w:type="auto"/>
            <w:vMerge w:val="continue"/>
            <w:tcBorders>
              <w:left w:val="single" w:color="auto" w:sz="4" w:space="0"/>
              <w:right w:val="single" w:color="auto" w:sz="4" w:space="0"/>
            </w:tcBorders>
            <w:vAlign w:val="center"/>
          </w:tcPr>
          <w:p>
            <w:pPr>
              <w:jc w:val="center"/>
              <w:rPr>
                <w:rFonts w:hint="eastAsia" w:asciiTheme="minorEastAsia" w:hAnsiTheme="minorEastAsia" w:eastAsiaTheme="minorEastAsia" w:cstheme="minorEastAsia"/>
                <w:color w:val="000000"/>
                <w:sz w:val="20"/>
                <w:szCs w:val="20"/>
                <w:lang w:val="en-US" w:eastAsia="zh-CN"/>
              </w:rPr>
            </w:pPr>
          </w:p>
        </w:tc>
        <w:tc>
          <w:tcPr>
            <w:tcW w:w="0" w:type="auto"/>
            <w:vMerge w:val="continue"/>
            <w:tcBorders>
              <w:left w:val="single" w:color="auto" w:sz="4" w:space="0"/>
              <w:right w:val="single" w:color="auto" w:sz="4" w:space="0"/>
            </w:tcBorders>
            <w:noWrap/>
            <w:vAlign w:val="center"/>
          </w:tcPr>
          <w:p>
            <w:pPr>
              <w:jc w:val="center"/>
              <w:rPr>
                <w:rFonts w:hint="eastAsia" w:asciiTheme="minorEastAsia" w:hAnsiTheme="minorEastAsia" w:eastAsiaTheme="minorEastAsia" w:cstheme="minorEastAsia"/>
                <w:color w:val="000000"/>
                <w:sz w:val="20"/>
                <w:szCs w:val="2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2" w:hRule="atLeast"/>
        </w:trPr>
        <w:tc>
          <w:tcPr>
            <w:tcW w:w="0" w:type="auto"/>
            <w:vMerge w:val="continue"/>
            <w:vAlign w:val="center"/>
          </w:tcPr>
          <w:p>
            <w:pPr>
              <w:widowControl/>
              <w:jc w:val="left"/>
              <w:rPr>
                <w:rFonts w:hint="eastAsia" w:asciiTheme="minorEastAsia" w:hAnsiTheme="minorEastAsia" w:eastAsiaTheme="minorEastAsia" w:cstheme="minorEastAsia"/>
                <w:color w:val="000000"/>
                <w:kern w:val="0"/>
                <w:sz w:val="20"/>
                <w:szCs w:val="20"/>
              </w:rPr>
            </w:pPr>
          </w:p>
        </w:tc>
        <w:tc>
          <w:tcPr>
            <w:tcW w:w="0" w:type="auto"/>
            <w:vMerge w:val="continue"/>
            <w:vAlign w:val="center"/>
          </w:tcPr>
          <w:p>
            <w:pPr>
              <w:widowControl/>
              <w:jc w:val="left"/>
              <w:rPr>
                <w:rFonts w:hint="eastAsia" w:asciiTheme="minorEastAsia" w:hAnsiTheme="minorEastAsia" w:eastAsiaTheme="minorEastAsia" w:cstheme="minorEastAsia"/>
                <w:color w:val="000000"/>
                <w:kern w:val="0"/>
                <w:sz w:val="20"/>
                <w:szCs w:val="20"/>
              </w:rPr>
            </w:pPr>
          </w:p>
        </w:tc>
        <w:tc>
          <w:tcPr>
            <w:tcW w:w="0" w:type="auto"/>
            <w:vMerge w:val="continue"/>
            <w:tcBorders>
              <w:left w:val="single" w:color="auto" w:sz="4" w:space="0"/>
              <w:right w:val="single" w:color="auto" w:sz="4" w:space="0"/>
            </w:tcBorders>
            <w:vAlign w:val="center"/>
          </w:tcPr>
          <w:p>
            <w:pPr>
              <w:jc w:val="center"/>
              <w:rPr>
                <w:rFonts w:hint="eastAsia" w:asciiTheme="minorEastAsia" w:hAnsiTheme="minorEastAsia" w:eastAsiaTheme="minorEastAsia" w:cstheme="minorEastAsia"/>
                <w:color w:val="000000"/>
                <w:sz w:val="20"/>
                <w:szCs w:val="20"/>
              </w:rPr>
            </w:pPr>
          </w:p>
        </w:tc>
        <w:tc>
          <w:tcPr>
            <w:tcW w:w="0" w:type="auto"/>
            <w:vAlign w:val="center"/>
          </w:tcPr>
          <w:p>
            <w:pP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对乡村不同类型新产业新业态发展进行研究，为政策制定提供依据</w:t>
            </w:r>
          </w:p>
        </w:tc>
        <w:tc>
          <w:tcPr>
            <w:tcW w:w="0" w:type="auto"/>
            <w:tcBorders>
              <w:right w:val="single" w:color="auto" w:sz="4" w:space="0"/>
            </w:tcBorders>
            <w:vAlign w:val="center"/>
          </w:tcPr>
          <w:p>
            <w:pP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基本达到预期目标</w:t>
            </w:r>
          </w:p>
        </w:tc>
        <w:tc>
          <w:tcPr>
            <w:tcW w:w="0" w:type="auto"/>
            <w:vMerge w:val="continue"/>
            <w:tcBorders>
              <w:left w:val="single" w:color="auto" w:sz="4" w:space="0"/>
              <w:right w:val="single" w:color="auto" w:sz="4" w:space="0"/>
            </w:tcBorders>
            <w:vAlign w:val="center"/>
          </w:tcPr>
          <w:p>
            <w:pPr>
              <w:jc w:val="center"/>
              <w:rPr>
                <w:rFonts w:hint="eastAsia" w:asciiTheme="minorEastAsia" w:hAnsiTheme="minorEastAsia" w:eastAsiaTheme="minorEastAsia" w:cstheme="minorEastAsia"/>
                <w:color w:val="000000"/>
                <w:sz w:val="20"/>
                <w:szCs w:val="20"/>
                <w:lang w:val="en-US" w:eastAsia="zh-CN"/>
              </w:rPr>
            </w:pPr>
          </w:p>
        </w:tc>
        <w:tc>
          <w:tcPr>
            <w:tcW w:w="0" w:type="auto"/>
            <w:vMerge w:val="continue"/>
            <w:tcBorders>
              <w:left w:val="single" w:color="auto" w:sz="4" w:space="0"/>
              <w:right w:val="single" w:color="auto" w:sz="4" w:space="0"/>
            </w:tcBorders>
            <w:noWrap/>
            <w:vAlign w:val="center"/>
          </w:tcPr>
          <w:p>
            <w:pPr>
              <w:jc w:val="center"/>
              <w:rPr>
                <w:rFonts w:hint="eastAsia" w:asciiTheme="minorEastAsia" w:hAnsiTheme="minorEastAsia" w:eastAsiaTheme="minorEastAsia" w:cstheme="minorEastAsia"/>
                <w:color w:val="000000"/>
                <w:sz w:val="20"/>
                <w:szCs w:val="2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2" w:hRule="atLeast"/>
        </w:trPr>
        <w:tc>
          <w:tcPr>
            <w:tcW w:w="0" w:type="auto"/>
            <w:vMerge w:val="continue"/>
            <w:vAlign w:val="center"/>
          </w:tcPr>
          <w:p>
            <w:pPr>
              <w:widowControl/>
              <w:jc w:val="left"/>
              <w:rPr>
                <w:rFonts w:hint="eastAsia" w:asciiTheme="minorEastAsia" w:hAnsiTheme="minorEastAsia" w:eastAsiaTheme="minorEastAsia" w:cstheme="minorEastAsia"/>
                <w:color w:val="000000"/>
                <w:kern w:val="0"/>
                <w:sz w:val="20"/>
                <w:szCs w:val="20"/>
              </w:rPr>
            </w:pPr>
          </w:p>
        </w:tc>
        <w:tc>
          <w:tcPr>
            <w:tcW w:w="0" w:type="auto"/>
            <w:vMerge w:val="continue"/>
            <w:vAlign w:val="center"/>
          </w:tcPr>
          <w:p>
            <w:pPr>
              <w:widowControl/>
              <w:jc w:val="left"/>
              <w:rPr>
                <w:rFonts w:hint="eastAsia" w:asciiTheme="minorEastAsia" w:hAnsiTheme="minorEastAsia" w:eastAsiaTheme="minorEastAsia" w:cstheme="minorEastAsia"/>
                <w:color w:val="000000"/>
                <w:kern w:val="0"/>
                <w:sz w:val="20"/>
                <w:szCs w:val="20"/>
              </w:rPr>
            </w:pPr>
          </w:p>
        </w:tc>
        <w:tc>
          <w:tcPr>
            <w:tcW w:w="0" w:type="auto"/>
            <w:vMerge w:val="continue"/>
            <w:tcBorders>
              <w:left w:val="single" w:color="auto" w:sz="4" w:space="0"/>
              <w:right w:val="single" w:color="auto" w:sz="4" w:space="0"/>
            </w:tcBorders>
            <w:vAlign w:val="center"/>
          </w:tcPr>
          <w:p>
            <w:pPr>
              <w:jc w:val="center"/>
              <w:rPr>
                <w:rFonts w:hint="eastAsia" w:asciiTheme="minorEastAsia" w:hAnsiTheme="minorEastAsia" w:eastAsiaTheme="minorEastAsia" w:cstheme="minorEastAsia"/>
                <w:color w:val="000000"/>
                <w:sz w:val="20"/>
                <w:szCs w:val="20"/>
              </w:rPr>
            </w:pPr>
          </w:p>
        </w:tc>
        <w:tc>
          <w:tcPr>
            <w:tcW w:w="0" w:type="auto"/>
            <w:vAlign w:val="center"/>
          </w:tcPr>
          <w:p>
            <w:pP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探索开展“三统筹”试验示范工作，打造京郊现代农业产业科技服务中心与现代农业产业示范基地的新样板。</w:t>
            </w:r>
          </w:p>
        </w:tc>
        <w:tc>
          <w:tcPr>
            <w:tcW w:w="0" w:type="auto"/>
            <w:tcBorders>
              <w:right w:val="single" w:color="auto" w:sz="4" w:space="0"/>
            </w:tcBorders>
            <w:vAlign w:val="center"/>
          </w:tcPr>
          <w:p>
            <w:pP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基本达到预期目标</w:t>
            </w:r>
          </w:p>
        </w:tc>
        <w:tc>
          <w:tcPr>
            <w:tcW w:w="0" w:type="auto"/>
            <w:vMerge w:val="continue"/>
            <w:tcBorders>
              <w:left w:val="single" w:color="auto" w:sz="4" w:space="0"/>
              <w:right w:val="single" w:color="auto" w:sz="4" w:space="0"/>
            </w:tcBorders>
            <w:vAlign w:val="center"/>
          </w:tcPr>
          <w:p>
            <w:pPr>
              <w:jc w:val="center"/>
              <w:rPr>
                <w:rFonts w:hint="eastAsia" w:asciiTheme="minorEastAsia" w:hAnsiTheme="minorEastAsia" w:eastAsiaTheme="minorEastAsia" w:cstheme="minorEastAsia"/>
                <w:color w:val="000000"/>
                <w:sz w:val="20"/>
                <w:szCs w:val="20"/>
                <w:lang w:val="en-US" w:eastAsia="zh-CN"/>
              </w:rPr>
            </w:pPr>
          </w:p>
        </w:tc>
        <w:tc>
          <w:tcPr>
            <w:tcW w:w="0" w:type="auto"/>
            <w:vMerge w:val="continue"/>
            <w:tcBorders>
              <w:left w:val="single" w:color="auto" w:sz="4" w:space="0"/>
              <w:bottom w:val="single" w:color="auto" w:sz="4" w:space="0"/>
              <w:right w:val="single" w:color="auto" w:sz="4" w:space="0"/>
            </w:tcBorders>
            <w:noWrap/>
            <w:vAlign w:val="center"/>
          </w:tcPr>
          <w:p>
            <w:pPr>
              <w:jc w:val="center"/>
              <w:rPr>
                <w:rFonts w:hint="eastAsia" w:asciiTheme="minorEastAsia" w:hAnsiTheme="minorEastAsia" w:eastAsiaTheme="minorEastAsia" w:cstheme="minorEastAsia"/>
                <w:color w:val="000000"/>
                <w:sz w:val="20"/>
                <w:szCs w:val="2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trPr>
        <w:tc>
          <w:tcPr>
            <w:tcW w:w="0" w:type="auto"/>
            <w:vMerge w:val="continue"/>
            <w:vAlign w:val="center"/>
          </w:tcPr>
          <w:p>
            <w:pPr>
              <w:widowControl/>
              <w:jc w:val="left"/>
              <w:rPr>
                <w:rFonts w:hint="eastAsia" w:asciiTheme="minorEastAsia" w:hAnsiTheme="minorEastAsia" w:eastAsiaTheme="minorEastAsia" w:cstheme="minorEastAsia"/>
                <w:color w:val="000000"/>
                <w:kern w:val="0"/>
                <w:sz w:val="20"/>
                <w:szCs w:val="20"/>
              </w:rPr>
            </w:pPr>
          </w:p>
        </w:tc>
        <w:tc>
          <w:tcPr>
            <w:tcW w:w="0" w:type="auto"/>
            <w:vMerge w:val="continue"/>
            <w:vAlign w:val="center"/>
          </w:tcPr>
          <w:p>
            <w:pPr>
              <w:widowControl/>
              <w:jc w:val="left"/>
              <w:rPr>
                <w:rFonts w:hint="eastAsia" w:asciiTheme="minorEastAsia" w:hAnsiTheme="minorEastAsia" w:eastAsiaTheme="minorEastAsia" w:cstheme="minorEastAsia"/>
                <w:color w:val="000000"/>
                <w:kern w:val="0"/>
                <w:sz w:val="20"/>
                <w:szCs w:val="20"/>
              </w:rPr>
            </w:pPr>
          </w:p>
        </w:tc>
        <w:tc>
          <w:tcPr>
            <w:tcW w:w="0" w:type="auto"/>
            <w:vAlign w:val="center"/>
          </w:tcPr>
          <w:p>
            <w:pPr>
              <w:jc w:val="cente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lang w:val="en-US" w:eastAsia="zh-CN"/>
              </w:rPr>
              <w:t>经济效益</w:t>
            </w:r>
          </w:p>
        </w:tc>
        <w:tc>
          <w:tcPr>
            <w:tcW w:w="0" w:type="auto"/>
            <w:vAlign w:val="center"/>
          </w:tcPr>
          <w:p>
            <w:pP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构建百村千户监测点数据库（案例库）及数据采集平台</w:t>
            </w:r>
          </w:p>
        </w:tc>
        <w:tc>
          <w:tcPr>
            <w:tcW w:w="0" w:type="auto"/>
            <w:tcBorders>
              <w:right w:val="single" w:color="auto" w:sz="4" w:space="0"/>
            </w:tcBorders>
            <w:vAlign w:val="center"/>
          </w:tcPr>
          <w:p>
            <w:pPr>
              <w:rPr>
                <w:rFonts w:hint="eastAsia" w:asciiTheme="minorEastAsia" w:hAnsiTheme="minorEastAsia" w:eastAsiaTheme="minorEastAsia" w:cstheme="minorEastAsia"/>
                <w:color w:val="000000"/>
                <w:sz w:val="20"/>
                <w:szCs w:val="20"/>
                <w:lang w:val="en-US" w:eastAsia="zh-CN"/>
              </w:rPr>
            </w:pPr>
            <w:r>
              <w:rPr>
                <w:rFonts w:hint="eastAsia" w:asciiTheme="minorEastAsia" w:hAnsiTheme="minorEastAsia" w:eastAsiaTheme="minorEastAsia" w:cstheme="minorEastAsia"/>
                <w:color w:val="000000"/>
                <w:sz w:val="20"/>
                <w:szCs w:val="20"/>
                <w:lang w:val="en-US" w:eastAsia="zh-CN"/>
              </w:rPr>
              <w:t>基本达到预期目标</w:t>
            </w:r>
          </w:p>
        </w:tc>
        <w:tc>
          <w:tcPr>
            <w:tcW w:w="0" w:type="auto"/>
            <w:tcBorders>
              <w:left w:val="single" w:color="auto" w:sz="4" w:space="0"/>
              <w:right w:val="single" w:color="auto" w:sz="4" w:space="0"/>
            </w:tcBorders>
            <w:vAlign w:val="center"/>
          </w:tcPr>
          <w:p>
            <w:pPr>
              <w:jc w:val="center"/>
              <w:rPr>
                <w:rFonts w:hint="eastAsia" w:asciiTheme="minorEastAsia" w:hAnsiTheme="minorEastAsia" w:eastAsiaTheme="minorEastAsia" w:cstheme="minorEastAsia"/>
                <w:color w:val="000000"/>
                <w:sz w:val="20"/>
                <w:szCs w:val="20"/>
                <w:lang w:val="en-US" w:eastAsia="zh-CN"/>
              </w:rPr>
            </w:pPr>
            <w:r>
              <w:rPr>
                <w:rFonts w:hint="eastAsia" w:asciiTheme="minorEastAsia" w:hAnsiTheme="minorEastAsia" w:eastAsiaTheme="minorEastAsia" w:cstheme="minorEastAsia"/>
                <w:color w:val="000000"/>
                <w:sz w:val="20"/>
                <w:szCs w:val="20"/>
                <w:lang w:val="en-US" w:eastAsia="zh-CN"/>
              </w:rPr>
              <w:t>7</w:t>
            </w:r>
          </w:p>
        </w:tc>
        <w:tc>
          <w:tcPr>
            <w:tcW w:w="0" w:type="auto"/>
            <w:tcBorders>
              <w:top w:val="single" w:color="auto" w:sz="4" w:space="0"/>
              <w:left w:val="single" w:color="auto" w:sz="4" w:space="0"/>
              <w:bottom w:val="single" w:color="auto" w:sz="4" w:space="0"/>
            </w:tcBorders>
            <w:noWrap/>
            <w:vAlign w:val="center"/>
          </w:tcPr>
          <w:p>
            <w:pPr>
              <w:jc w:val="center"/>
              <w:rPr>
                <w:rFonts w:hint="default" w:asciiTheme="minorEastAsia" w:hAnsiTheme="minorEastAsia" w:eastAsiaTheme="minorEastAsia" w:cstheme="minorEastAsia"/>
                <w:color w:val="000000"/>
                <w:sz w:val="20"/>
                <w:szCs w:val="20"/>
                <w:lang w:val="en-US" w:eastAsia="zh-CN"/>
              </w:rPr>
            </w:pPr>
            <w:r>
              <w:rPr>
                <w:rFonts w:hint="eastAsia" w:asciiTheme="minorEastAsia" w:hAnsiTheme="minorEastAsia" w:eastAsiaTheme="minorEastAsia" w:cstheme="minorEastAsia"/>
                <w:color w:val="000000"/>
                <w:sz w:val="20"/>
                <w:szCs w:val="20"/>
                <w:lang w:val="en-US" w:eastAsia="zh-CN"/>
              </w:rPr>
              <w:t>6.5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2" w:hRule="atLeast"/>
        </w:trPr>
        <w:tc>
          <w:tcPr>
            <w:tcW w:w="0" w:type="auto"/>
            <w:vMerge w:val="continue"/>
            <w:vAlign w:val="center"/>
          </w:tcPr>
          <w:p>
            <w:pPr>
              <w:widowControl/>
              <w:jc w:val="left"/>
              <w:rPr>
                <w:rFonts w:hint="eastAsia" w:asciiTheme="minorEastAsia" w:hAnsiTheme="minorEastAsia" w:eastAsiaTheme="minorEastAsia" w:cstheme="minorEastAsia"/>
                <w:color w:val="000000"/>
                <w:kern w:val="0"/>
                <w:sz w:val="20"/>
                <w:szCs w:val="20"/>
              </w:rPr>
            </w:pPr>
          </w:p>
        </w:tc>
        <w:tc>
          <w:tcPr>
            <w:tcW w:w="0" w:type="auto"/>
            <w:vMerge w:val="continue"/>
            <w:vAlign w:val="center"/>
          </w:tcPr>
          <w:p>
            <w:pPr>
              <w:widowControl/>
              <w:jc w:val="left"/>
              <w:rPr>
                <w:rFonts w:hint="eastAsia" w:asciiTheme="minorEastAsia" w:hAnsiTheme="minorEastAsia" w:eastAsiaTheme="minorEastAsia" w:cstheme="minorEastAsia"/>
                <w:color w:val="000000"/>
                <w:kern w:val="0"/>
                <w:sz w:val="20"/>
                <w:szCs w:val="20"/>
              </w:rPr>
            </w:pPr>
          </w:p>
        </w:tc>
        <w:tc>
          <w:tcPr>
            <w:tcW w:w="0" w:type="auto"/>
            <w:vAlign w:val="center"/>
          </w:tcPr>
          <w:p>
            <w:pPr>
              <w:jc w:val="center"/>
              <w:rPr>
                <w:rFonts w:hint="default" w:asciiTheme="minorEastAsia" w:hAnsiTheme="minorEastAsia" w:eastAsiaTheme="minorEastAsia" w:cstheme="minorEastAsia"/>
                <w:color w:val="000000"/>
                <w:sz w:val="20"/>
                <w:szCs w:val="20"/>
                <w:lang w:val="en-US" w:eastAsia="zh-CN"/>
              </w:rPr>
            </w:pPr>
            <w:r>
              <w:rPr>
                <w:rFonts w:hint="eastAsia" w:asciiTheme="minorEastAsia" w:hAnsiTheme="minorEastAsia" w:eastAsiaTheme="minorEastAsia" w:cstheme="minorEastAsia"/>
                <w:color w:val="000000"/>
                <w:sz w:val="20"/>
                <w:szCs w:val="20"/>
                <w:lang w:val="en-US" w:eastAsia="zh-CN"/>
              </w:rPr>
              <w:t>可持续影响指标</w:t>
            </w:r>
          </w:p>
        </w:tc>
        <w:tc>
          <w:tcPr>
            <w:tcW w:w="0" w:type="auto"/>
            <w:vAlign w:val="center"/>
          </w:tcPr>
          <w:p>
            <w:pP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总结典型案例，提炼成功经验，为后续政策制定提供参考依据</w:t>
            </w:r>
          </w:p>
        </w:tc>
        <w:tc>
          <w:tcPr>
            <w:tcW w:w="0" w:type="auto"/>
            <w:tcBorders>
              <w:right w:val="single" w:color="auto" w:sz="4" w:space="0"/>
            </w:tcBorders>
            <w:vAlign w:val="center"/>
          </w:tcPr>
          <w:p>
            <w:pPr>
              <w:rPr>
                <w:rFonts w:hint="eastAsia" w:asciiTheme="minorEastAsia" w:hAnsiTheme="minorEastAsia" w:eastAsiaTheme="minorEastAsia" w:cstheme="minorEastAsia"/>
                <w:color w:val="000000"/>
                <w:sz w:val="20"/>
                <w:szCs w:val="20"/>
                <w:lang w:val="en-US" w:eastAsia="zh-CN"/>
              </w:rPr>
            </w:pPr>
            <w:r>
              <w:rPr>
                <w:rFonts w:hint="eastAsia" w:asciiTheme="minorEastAsia" w:hAnsiTheme="minorEastAsia" w:eastAsiaTheme="minorEastAsia" w:cstheme="minorEastAsia"/>
                <w:color w:val="000000"/>
                <w:sz w:val="20"/>
                <w:szCs w:val="20"/>
                <w:lang w:val="en-US" w:eastAsia="zh-CN"/>
              </w:rPr>
              <w:t>基本达到预期目标</w:t>
            </w:r>
          </w:p>
        </w:tc>
        <w:tc>
          <w:tcPr>
            <w:tcW w:w="0" w:type="auto"/>
            <w:tcBorders>
              <w:left w:val="single" w:color="auto" w:sz="4" w:space="0"/>
              <w:right w:val="single" w:color="auto" w:sz="4" w:space="0"/>
            </w:tcBorders>
            <w:vAlign w:val="center"/>
          </w:tcPr>
          <w:p>
            <w:pPr>
              <w:jc w:val="center"/>
              <w:rPr>
                <w:rFonts w:hint="default" w:asciiTheme="minorEastAsia" w:hAnsiTheme="minorEastAsia" w:eastAsiaTheme="minorEastAsia" w:cstheme="minorEastAsia"/>
                <w:color w:val="000000"/>
                <w:sz w:val="20"/>
                <w:szCs w:val="20"/>
                <w:lang w:val="en-US" w:eastAsia="zh-CN"/>
              </w:rPr>
            </w:pPr>
            <w:r>
              <w:rPr>
                <w:rFonts w:hint="eastAsia" w:asciiTheme="minorEastAsia" w:hAnsiTheme="minorEastAsia" w:eastAsiaTheme="minorEastAsia" w:cstheme="minorEastAsia"/>
                <w:color w:val="000000"/>
                <w:sz w:val="20"/>
                <w:szCs w:val="20"/>
                <w:lang w:val="en-US" w:eastAsia="zh-CN"/>
              </w:rPr>
              <w:t>6</w:t>
            </w:r>
          </w:p>
        </w:tc>
        <w:tc>
          <w:tcPr>
            <w:tcW w:w="0" w:type="auto"/>
            <w:tcBorders>
              <w:top w:val="single" w:color="auto" w:sz="4" w:space="0"/>
              <w:left w:val="single" w:color="auto" w:sz="4" w:space="0"/>
              <w:bottom w:val="single" w:color="auto" w:sz="4" w:space="0"/>
            </w:tcBorders>
            <w:noWrap/>
            <w:vAlign w:val="center"/>
          </w:tcPr>
          <w:p>
            <w:pPr>
              <w:jc w:val="center"/>
              <w:rPr>
                <w:rFonts w:hint="default" w:asciiTheme="minorEastAsia" w:hAnsiTheme="minorEastAsia" w:eastAsiaTheme="minorEastAsia" w:cstheme="minorEastAsia"/>
                <w:color w:val="000000"/>
                <w:sz w:val="20"/>
                <w:szCs w:val="20"/>
                <w:lang w:val="en-US" w:eastAsia="zh-CN"/>
              </w:rPr>
            </w:pPr>
            <w:r>
              <w:rPr>
                <w:rFonts w:hint="eastAsia" w:asciiTheme="minorEastAsia" w:hAnsiTheme="minorEastAsia" w:eastAsiaTheme="minorEastAsia" w:cstheme="minorEastAsia"/>
                <w:color w:val="000000"/>
                <w:sz w:val="20"/>
                <w:szCs w:val="20"/>
                <w:lang w:val="en-US" w:eastAsia="zh-CN"/>
              </w:rPr>
              <w:t>5.5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0" w:hRule="atLeast"/>
        </w:trPr>
        <w:tc>
          <w:tcPr>
            <w:tcW w:w="0" w:type="auto"/>
            <w:vMerge w:val="continue"/>
            <w:vAlign w:val="center"/>
          </w:tcPr>
          <w:p>
            <w:pPr>
              <w:widowControl/>
              <w:jc w:val="left"/>
              <w:rPr>
                <w:rFonts w:hint="eastAsia" w:asciiTheme="minorEastAsia" w:hAnsiTheme="minorEastAsia" w:eastAsiaTheme="minorEastAsia" w:cstheme="minorEastAsia"/>
                <w:color w:val="000000"/>
                <w:kern w:val="0"/>
                <w:sz w:val="20"/>
                <w:szCs w:val="20"/>
              </w:rPr>
            </w:pPr>
          </w:p>
        </w:tc>
        <w:tc>
          <w:tcPr>
            <w:tcW w:w="0" w:type="auto"/>
            <w:vMerge w:val="continue"/>
            <w:vAlign w:val="center"/>
          </w:tcPr>
          <w:p>
            <w:pPr>
              <w:widowControl/>
              <w:jc w:val="left"/>
              <w:rPr>
                <w:rFonts w:hint="eastAsia" w:asciiTheme="minorEastAsia" w:hAnsiTheme="minorEastAsia" w:eastAsiaTheme="minorEastAsia" w:cstheme="minorEastAsia"/>
                <w:color w:val="000000"/>
                <w:kern w:val="0"/>
                <w:sz w:val="20"/>
                <w:szCs w:val="20"/>
              </w:rPr>
            </w:pPr>
          </w:p>
        </w:tc>
        <w:tc>
          <w:tcPr>
            <w:tcW w:w="0" w:type="auto"/>
            <w:vAlign w:val="center"/>
          </w:tcPr>
          <w:p>
            <w:pPr>
              <w:jc w:val="cente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服务对象满意度</w:t>
            </w:r>
          </w:p>
        </w:tc>
        <w:tc>
          <w:tcPr>
            <w:tcW w:w="0" w:type="auto"/>
            <w:vAlign w:val="center"/>
          </w:tcPr>
          <w:p>
            <w:pP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单位职工满意度</w:t>
            </w:r>
            <w:r>
              <w:rPr>
                <w:rFonts w:hint="eastAsia" w:asciiTheme="minorEastAsia" w:hAnsiTheme="minorEastAsia" w:eastAsiaTheme="minorEastAsia" w:cstheme="minorEastAsia"/>
                <w:color w:val="000000"/>
                <w:sz w:val="20"/>
                <w:szCs w:val="20"/>
                <w:lang w:val="en-US" w:eastAsia="zh-CN"/>
              </w:rPr>
              <w:t>≥80%</w:t>
            </w:r>
          </w:p>
        </w:tc>
        <w:tc>
          <w:tcPr>
            <w:tcW w:w="0" w:type="auto"/>
            <w:tcBorders>
              <w:right w:val="single" w:color="auto" w:sz="4" w:space="0"/>
            </w:tcBorders>
            <w:vAlign w:val="center"/>
          </w:tcPr>
          <w:p>
            <w:pP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满意度达到要求，但资料需进一步完善</w:t>
            </w:r>
          </w:p>
        </w:tc>
        <w:tc>
          <w:tcPr>
            <w:tcW w:w="0" w:type="auto"/>
            <w:tcBorders>
              <w:left w:val="single" w:color="auto" w:sz="4" w:space="0"/>
              <w:right w:val="single" w:color="auto" w:sz="4" w:space="0"/>
            </w:tcBorders>
            <w:vAlign w:val="center"/>
          </w:tcPr>
          <w:p>
            <w:pPr>
              <w:jc w:val="center"/>
              <w:rPr>
                <w:rFonts w:hint="eastAsia" w:asciiTheme="minorEastAsia" w:hAnsiTheme="minorEastAsia" w:eastAsiaTheme="minorEastAsia" w:cstheme="minorEastAsia"/>
                <w:color w:val="000000"/>
                <w:sz w:val="20"/>
                <w:szCs w:val="20"/>
                <w:lang w:val="en-US" w:eastAsia="zh-CN"/>
              </w:rPr>
            </w:pPr>
            <w:r>
              <w:rPr>
                <w:rFonts w:hint="eastAsia" w:asciiTheme="minorEastAsia" w:hAnsiTheme="minorEastAsia" w:eastAsiaTheme="minorEastAsia" w:cstheme="minorEastAsia"/>
                <w:color w:val="000000"/>
                <w:sz w:val="20"/>
                <w:szCs w:val="20"/>
                <w:lang w:val="en-US" w:eastAsia="zh-CN"/>
              </w:rPr>
              <w:t>10</w:t>
            </w:r>
          </w:p>
        </w:tc>
        <w:tc>
          <w:tcPr>
            <w:tcW w:w="0" w:type="auto"/>
            <w:tcBorders>
              <w:top w:val="single" w:color="auto" w:sz="4" w:space="0"/>
              <w:left w:val="single" w:color="auto" w:sz="4" w:space="0"/>
            </w:tcBorders>
            <w:noWrap/>
            <w:vAlign w:val="center"/>
          </w:tcPr>
          <w:p>
            <w:pPr>
              <w:jc w:val="center"/>
              <w:rPr>
                <w:rFonts w:hint="default" w:asciiTheme="minorEastAsia" w:hAnsiTheme="minorEastAsia" w:eastAsiaTheme="minorEastAsia" w:cstheme="minorEastAsia"/>
                <w:color w:val="000000"/>
                <w:sz w:val="20"/>
                <w:szCs w:val="20"/>
                <w:lang w:val="en-US" w:eastAsia="zh-CN"/>
              </w:rPr>
            </w:pPr>
            <w:r>
              <w:rPr>
                <w:rFonts w:hint="eastAsia" w:asciiTheme="minorEastAsia" w:hAnsiTheme="minorEastAsia" w:eastAsiaTheme="minorEastAsia" w:cstheme="minorEastAsia"/>
                <w:color w:val="000000"/>
                <w:sz w:val="20"/>
                <w:szCs w:val="20"/>
              </w:rPr>
              <w:t>9</w:t>
            </w:r>
            <w:r>
              <w:rPr>
                <w:rFonts w:hint="eastAsia" w:asciiTheme="minorEastAsia" w:hAnsiTheme="minorEastAsia" w:eastAsiaTheme="minorEastAsia" w:cstheme="minorEastAsia"/>
                <w:color w:val="000000"/>
                <w:sz w:val="20"/>
                <w:szCs w:val="20"/>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0" w:type="auto"/>
            <w:vMerge w:val="restart"/>
            <w:vAlign w:val="center"/>
          </w:tcPr>
          <w:p>
            <w:pPr>
              <w:widowControl/>
              <w:jc w:val="center"/>
              <w:rPr>
                <w:rFonts w:hint="eastAsia" w:asciiTheme="minorEastAsia" w:hAnsiTheme="minorEastAsia" w:eastAsiaTheme="minorEastAsia" w:cstheme="minorEastAsia"/>
                <w:color w:val="000000"/>
                <w:kern w:val="0"/>
                <w:sz w:val="20"/>
                <w:szCs w:val="20"/>
              </w:rPr>
            </w:pPr>
            <w:r>
              <w:rPr>
                <w:rFonts w:hint="eastAsia" w:asciiTheme="minorEastAsia" w:hAnsiTheme="minorEastAsia" w:eastAsiaTheme="minorEastAsia" w:cstheme="minorEastAsia"/>
                <w:color w:val="000000"/>
                <w:kern w:val="0"/>
                <w:sz w:val="20"/>
                <w:szCs w:val="20"/>
              </w:rPr>
              <w:t>预算管理情况（20）</w:t>
            </w:r>
          </w:p>
        </w:tc>
        <w:tc>
          <w:tcPr>
            <w:tcW w:w="0" w:type="auto"/>
            <w:vMerge w:val="restart"/>
            <w:vAlign w:val="center"/>
          </w:tcPr>
          <w:p>
            <w:pPr>
              <w:widowControl/>
              <w:jc w:val="center"/>
              <w:rPr>
                <w:rFonts w:hint="eastAsia" w:asciiTheme="minorEastAsia" w:hAnsiTheme="minorEastAsia" w:eastAsiaTheme="minorEastAsia" w:cstheme="minorEastAsia"/>
                <w:color w:val="000000"/>
                <w:kern w:val="0"/>
                <w:sz w:val="20"/>
                <w:szCs w:val="20"/>
              </w:rPr>
            </w:pPr>
            <w:r>
              <w:rPr>
                <w:rFonts w:hint="eastAsia" w:asciiTheme="minorEastAsia" w:hAnsiTheme="minorEastAsia" w:eastAsiaTheme="minorEastAsia" w:cstheme="minorEastAsia"/>
                <w:color w:val="000000"/>
                <w:kern w:val="0"/>
                <w:sz w:val="20"/>
                <w:szCs w:val="20"/>
              </w:rPr>
              <w:t>财务管理</w:t>
            </w:r>
          </w:p>
          <w:p>
            <w:pPr>
              <w:widowControl/>
              <w:jc w:val="center"/>
              <w:rPr>
                <w:rFonts w:hint="eastAsia" w:asciiTheme="minorEastAsia" w:hAnsiTheme="minorEastAsia" w:eastAsiaTheme="minorEastAsia" w:cstheme="minorEastAsia"/>
                <w:color w:val="000000"/>
                <w:kern w:val="0"/>
                <w:sz w:val="20"/>
                <w:szCs w:val="20"/>
              </w:rPr>
            </w:pPr>
            <w:r>
              <w:rPr>
                <w:rFonts w:hint="eastAsia" w:asciiTheme="minorEastAsia" w:hAnsiTheme="minorEastAsia" w:eastAsiaTheme="minorEastAsia" w:cstheme="minorEastAsia"/>
                <w:color w:val="000000"/>
                <w:kern w:val="0"/>
                <w:sz w:val="20"/>
                <w:szCs w:val="20"/>
              </w:rPr>
              <w:t>（4）</w:t>
            </w:r>
          </w:p>
        </w:tc>
        <w:tc>
          <w:tcPr>
            <w:tcW w:w="0" w:type="auto"/>
            <w:vAlign w:val="center"/>
          </w:tcPr>
          <w:p>
            <w:pPr>
              <w:widowControl/>
              <w:jc w:val="center"/>
              <w:rPr>
                <w:rFonts w:hint="eastAsia" w:asciiTheme="minorEastAsia" w:hAnsiTheme="minorEastAsia" w:eastAsiaTheme="minorEastAsia" w:cstheme="minorEastAsia"/>
                <w:color w:val="000000"/>
                <w:kern w:val="0"/>
                <w:sz w:val="20"/>
                <w:szCs w:val="20"/>
              </w:rPr>
            </w:pPr>
            <w:r>
              <w:rPr>
                <w:rFonts w:hint="eastAsia" w:asciiTheme="minorEastAsia" w:hAnsiTheme="minorEastAsia" w:eastAsiaTheme="minorEastAsia" w:cstheme="minorEastAsia"/>
                <w:color w:val="000000"/>
                <w:kern w:val="0"/>
                <w:sz w:val="20"/>
                <w:szCs w:val="20"/>
              </w:rPr>
              <w:t>财务管理制度健全性</w:t>
            </w:r>
          </w:p>
        </w:tc>
        <w:tc>
          <w:tcPr>
            <w:tcW w:w="0" w:type="auto"/>
            <w:vAlign w:val="center"/>
          </w:tcPr>
          <w:p>
            <w:pP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建立相关财务管理制度，且完整、合规</w:t>
            </w:r>
          </w:p>
        </w:tc>
        <w:tc>
          <w:tcPr>
            <w:tcW w:w="0" w:type="auto"/>
            <w:vAlign w:val="center"/>
          </w:tcPr>
          <w:p>
            <w:pP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相关财务管理制度完整、规范</w:t>
            </w:r>
          </w:p>
        </w:tc>
        <w:tc>
          <w:tcPr>
            <w:tcW w:w="0" w:type="auto"/>
            <w:noWrap/>
            <w:vAlign w:val="center"/>
          </w:tcPr>
          <w:p>
            <w:pPr>
              <w:jc w:val="cente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1</w:t>
            </w:r>
          </w:p>
        </w:tc>
        <w:tc>
          <w:tcPr>
            <w:tcW w:w="0" w:type="auto"/>
            <w:noWrap/>
            <w:vAlign w:val="center"/>
          </w:tcPr>
          <w:p>
            <w:pPr>
              <w:jc w:val="cente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0" w:type="auto"/>
            <w:vMerge w:val="continue"/>
            <w:vAlign w:val="center"/>
          </w:tcPr>
          <w:p>
            <w:pPr>
              <w:widowControl/>
              <w:jc w:val="left"/>
              <w:rPr>
                <w:rFonts w:hint="eastAsia" w:asciiTheme="minorEastAsia" w:hAnsiTheme="minorEastAsia" w:eastAsiaTheme="minorEastAsia" w:cstheme="minorEastAsia"/>
                <w:color w:val="000000"/>
                <w:kern w:val="0"/>
                <w:sz w:val="20"/>
                <w:szCs w:val="20"/>
              </w:rPr>
            </w:pPr>
          </w:p>
        </w:tc>
        <w:tc>
          <w:tcPr>
            <w:tcW w:w="0" w:type="auto"/>
            <w:vMerge w:val="continue"/>
            <w:vAlign w:val="center"/>
          </w:tcPr>
          <w:p>
            <w:pPr>
              <w:widowControl/>
              <w:jc w:val="left"/>
              <w:rPr>
                <w:rFonts w:hint="eastAsia" w:asciiTheme="minorEastAsia" w:hAnsiTheme="minorEastAsia" w:eastAsiaTheme="minorEastAsia" w:cstheme="minorEastAsia"/>
                <w:color w:val="000000"/>
                <w:kern w:val="0"/>
                <w:sz w:val="20"/>
                <w:szCs w:val="20"/>
              </w:rPr>
            </w:pPr>
          </w:p>
        </w:tc>
        <w:tc>
          <w:tcPr>
            <w:tcW w:w="0" w:type="auto"/>
            <w:vAlign w:val="center"/>
          </w:tcPr>
          <w:p>
            <w:pPr>
              <w:widowControl/>
              <w:jc w:val="center"/>
              <w:rPr>
                <w:rFonts w:hint="eastAsia" w:asciiTheme="minorEastAsia" w:hAnsiTheme="minorEastAsia" w:eastAsiaTheme="minorEastAsia" w:cstheme="minorEastAsia"/>
                <w:color w:val="000000"/>
                <w:kern w:val="0"/>
                <w:sz w:val="20"/>
                <w:szCs w:val="20"/>
              </w:rPr>
            </w:pPr>
            <w:r>
              <w:rPr>
                <w:rFonts w:hint="eastAsia" w:asciiTheme="minorEastAsia" w:hAnsiTheme="minorEastAsia" w:eastAsiaTheme="minorEastAsia" w:cstheme="minorEastAsia"/>
                <w:color w:val="000000"/>
                <w:kern w:val="0"/>
                <w:sz w:val="20"/>
                <w:szCs w:val="20"/>
              </w:rPr>
              <w:t>资金使用合规性和安全性</w:t>
            </w:r>
          </w:p>
        </w:tc>
        <w:tc>
          <w:tcPr>
            <w:tcW w:w="0" w:type="auto"/>
            <w:vAlign w:val="center"/>
          </w:tcPr>
          <w:p>
            <w:pP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资金使用符合相关管理要求，使用合规、安全</w:t>
            </w:r>
          </w:p>
        </w:tc>
        <w:tc>
          <w:tcPr>
            <w:tcW w:w="0" w:type="auto"/>
            <w:vAlign w:val="center"/>
          </w:tcPr>
          <w:p>
            <w:pP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资金使用</w:t>
            </w:r>
            <w:r>
              <w:rPr>
                <w:rFonts w:hint="eastAsia" w:asciiTheme="minorEastAsia" w:hAnsiTheme="minorEastAsia" w:eastAsiaTheme="minorEastAsia" w:cstheme="minorEastAsia"/>
                <w:color w:val="000000"/>
                <w:sz w:val="20"/>
                <w:szCs w:val="20"/>
                <w:lang w:val="en-US" w:eastAsia="zh-CN"/>
              </w:rPr>
              <w:t>基本合规</w:t>
            </w:r>
            <w:r>
              <w:rPr>
                <w:rFonts w:hint="eastAsia" w:asciiTheme="minorEastAsia" w:hAnsiTheme="minorEastAsia" w:eastAsiaTheme="minorEastAsia" w:cstheme="minorEastAsia"/>
                <w:color w:val="000000"/>
                <w:sz w:val="20"/>
                <w:szCs w:val="20"/>
              </w:rPr>
              <w:t>、</w:t>
            </w:r>
            <w:r>
              <w:rPr>
                <w:rFonts w:hint="eastAsia" w:asciiTheme="minorEastAsia" w:hAnsiTheme="minorEastAsia" w:eastAsiaTheme="minorEastAsia" w:cstheme="minorEastAsia"/>
                <w:color w:val="000000"/>
                <w:sz w:val="20"/>
                <w:szCs w:val="20"/>
                <w:lang w:val="en-US" w:eastAsia="zh-CN"/>
              </w:rPr>
              <w:t>安全</w:t>
            </w:r>
          </w:p>
        </w:tc>
        <w:tc>
          <w:tcPr>
            <w:tcW w:w="0" w:type="auto"/>
            <w:noWrap/>
            <w:vAlign w:val="center"/>
          </w:tcPr>
          <w:p>
            <w:pPr>
              <w:jc w:val="cente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2</w:t>
            </w:r>
          </w:p>
        </w:tc>
        <w:tc>
          <w:tcPr>
            <w:tcW w:w="0" w:type="auto"/>
            <w:noWrap/>
            <w:vAlign w:val="center"/>
          </w:tcPr>
          <w:p>
            <w:pPr>
              <w:jc w:val="center"/>
              <w:rPr>
                <w:rFonts w:hint="eastAsia" w:asciiTheme="minorEastAsia" w:hAnsiTheme="minorEastAsia" w:eastAsiaTheme="minorEastAsia" w:cstheme="minorEastAsia"/>
                <w:color w:val="000000"/>
                <w:sz w:val="20"/>
                <w:szCs w:val="20"/>
                <w:lang w:val="en-US" w:eastAsia="zh-CN"/>
              </w:rPr>
            </w:pPr>
            <w:r>
              <w:rPr>
                <w:rFonts w:hint="eastAsia" w:asciiTheme="minorEastAsia" w:hAnsiTheme="minorEastAsia" w:eastAsiaTheme="minorEastAsia" w:cstheme="minorEastAsia"/>
                <w:color w:val="000000"/>
                <w:sz w:val="20"/>
                <w:szCs w:val="20"/>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atLeast"/>
        </w:trPr>
        <w:tc>
          <w:tcPr>
            <w:tcW w:w="0" w:type="auto"/>
            <w:vMerge w:val="continue"/>
            <w:vAlign w:val="center"/>
          </w:tcPr>
          <w:p>
            <w:pPr>
              <w:widowControl/>
              <w:jc w:val="left"/>
              <w:rPr>
                <w:rFonts w:hint="eastAsia" w:asciiTheme="minorEastAsia" w:hAnsiTheme="minorEastAsia" w:eastAsiaTheme="minorEastAsia" w:cstheme="minorEastAsia"/>
                <w:color w:val="000000"/>
                <w:kern w:val="0"/>
                <w:sz w:val="20"/>
                <w:szCs w:val="20"/>
              </w:rPr>
            </w:pPr>
          </w:p>
        </w:tc>
        <w:tc>
          <w:tcPr>
            <w:tcW w:w="0" w:type="auto"/>
            <w:vMerge w:val="continue"/>
            <w:vAlign w:val="center"/>
          </w:tcPr>
          <w:p>
            <w:pPr>
              <w:widowControl/>
              <w:jc w:val="left"/>
              <w:rPr>
                <w:rFonts w:hint="eastAsia" w:asciiTheme="minorEastAsia" w:hAnsiTheme="minorEastAsia" w:eastAsiaTheme="minorEastAsia" w:cstheme="minorEastAsia"/>
                <w:color w:val="000000"/>
                <w:kern w:val="0"/>
                <w:sz w:val="20"/>
                <w:szCs w:val="20"/>
              </w:rPr>
            </w:pPr>
          </w:p>
        </w:tc>
        <w:tc>
          <w:tcPr>
            <w:tcW w:w="0" w:type="auto"/>
            <w:vAlign w:val="center"/>
          </w:tcPr>
          <w:p>
            <w:pPr>
              <w:widowControl/>
              <w:jc w:val="center"/>
              <w:rPr>
                <w:rFonts w:hint="eastAsia" w:asciiTheme="minorEastAsia" w:hAnsiTheme="minorEastAsia" w:eastAsiaTheme="minorEastAsia" w:cstheme="minorEastAsia"/>
                <w:color w:val="000000"/>
                <w:kern w:val="0"/>
                <w:sz w:val="20"/>
                <w:szCs w:val="20"/>
              </w:rPr>
            </w:pPr>
            <w:r>
              <w:rPr>
                <w:rFonts w:hint="eastAsia" w:asciiTheme="minorEastAsia" w:hAnsiTheme="minorEastAsia" w:eastAsiaTheme="minorEastAsia" w:cstheme="minorEastAsia"/>
                <w:color w:val="000000"/>
                <w:kern w:val="0"/>
                <w:sz w:val="20"/>
                <w:szCs w:val="20"/>
              </w:rPr>
              <w:t>会计基础信息完善性</w:t>
            </w:r>
          </w:p>
        </w:tc>
        <w:tc>
          <w:tcPr>
            <w:tcW w:w="0" w:type="auto"/>
            <w:tcBorders>
              <w:bottom w:val="single" w:color="auto" w:sz="4" w:space="0"/>
            </w:tcBorders>
            <w:vAlign w:val="center"/>
          </w:tcPr>
          <w:p>
            <w:pP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　基础数据信息和会计信息资料、完整、准确</w:t>
            </w:r>
          </w:p>
        </w:tc>
        <w:tc>
          <w:tcPr>
            <w:tcW w:w="0" w:type="auto"/>
            <w:vAlign w:val="center"/>
          </w:tcPr>
          <w:p>
            <w:pP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单位基础数据信息和会计信息资料、完整、准确　</w:t>
            </w:r>
          </w:p>
        </w:tc>
        <w:tc>
          <w:tcPr>
            <w:tcW w:w="0" w:type="auto"/>
            <w:noWrap/>
            <w:vAlign w:val="center"/>
          </w:tcPr>
          <w:p>
            <w:pPr>
              <w:widowControl/>
              <w:jc w:val="center"/>
              <w:rPr>
                <w:rFonts w:hint="eastAsia" w:asciiTheme="minorEastAsia" w:hAnsiTheme="minorEastAsia" w:eastAsiaTheme="minorEastAsia" w:cstheme="minorEastAsia"/>
                <w:color w:val="000000"/>
                <w:kern w:val="0"/>
                <w:sz w:val="20"/>
                <w:szCs w:val="20"/>
              </w:rPr>
            </w:pPr>
            <w:r>
              <w:rPr>
                <w:rFonts w:hint="eastAsia" w:asciiTheme="minorEastAsia" w:hAnsiTheme="minorEastAsia" w:eastAsiaTheme="minorEastAsia" w:cstheme="minorEastAsia"/>
                <w:color w:val="000000"/>
                <w:kern w:val="0"/>
                <w:sz w:val="20"/>
                <w:szCs w:val="20"/>
              </w:rPr>
              <w:t>1</w:t>
            </w:r>
          </w:p>
        </w:tc>
        <w:tc>
          <w:tcPr>
            <w:tcW w:w="0" w:type="auto"/>
            <w:noWrap/>
            <w:vAlign w:val="center"/>
          </w:tcPr>
          <w:p>
            <w:pPr>
              <w:widowControl/>
              <w:jc w:val="center"/>
              <w:rPr>
                <w:rFonts w:hint="eastAsia" w:asciiTheme="minorEastAsia" w:hAnsiTheme="minorEastAsia" w:eastAsiaTheme="minorEastAsia" w:cstheme="minorEastAsia"/>
                <w:color w:val="000000"/>
                <w:kern w:val="0"/>
                <w:sz w:val="20"/>
                <w:szCs w:val="20"/>
              </w:rPr>
            </w:pPr>
            <w:r>
              <w:rPr>
                <w:rFonts w:hint="eastAsia" w:asciiTheme="minorEastAsia" w:hAnsiTheme="minorEastAsia" w:eastAsiaTheme="minorEastAsia" w:cstheme="minorEastAsia"/>
                <w:color w:val="000000"/>
                <w:kern w:val="0"/>
                <w:sz w:val="20"/>
                <w:szCs w:val="2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trPr>
        <w:tc>
          <w:tcPr>
            <w:tcW w:w="0" w:type="auto"/>
            <w:vMerge w:val="continue"/>
            <w:vAlign w:val="center"/>
          </w:tcPr>
          <w:p>
            <w:pPr>
              <w:widowControl/>
              <w:jc w:val="left"/>
              <w:rPr>
                <w:rFonts w:hint="eastAsia" w:asciiTheme="minorEastAsia" w:hAnsiTheme="minorEastAsia" w:eastAsiaTheme="minorEastAsia" w:cstheme="minorEastAsia"/>
                <w:color w:val="000000"/>
                <w:kern w:val="0"/>
                <w:sz w:val="20"/>
                <w:szCs w:val="20"/>
              </w:rPr>
            </w:pPr>
          </w:p>
        </w:tc>
        <w:tc>
          <w:tcPr>
            <w:tcW w:w="0" w:type="auto"/>
            <w:vAlign w:val="center"/>
          </w:tcPr>
          <w:p>
            <w:pPr>
              <w:widowControl/>
              <w:jc w:val="center"/>
              <w:rPr>
                <w:rFonts w:hint="eastAsia" w:asciiTheme="minorEastAsia" w:hAnsiTheme="minorEastAsia" w:eastAsiaTheme="minorEastAsia" w:cstheme="minorEastAsia"/>
                <w:color w:val="000000"/>
                <w:kern w:val="0"/>
                <w:sz w:val="20"/>
                <w:szCs w:val="20"/>
              </w:rPr>
            </w:pPr>
            <w:r>
              <w:rPr>
                <w:rFonts w:hint="eastAsia" w:asciiTheme="minorEastAsia" w:hAnsiTheme="minorEastAsia" w:eastAsiaTheme="minorEastAsia" w:cstheme="minorEastAsia"/>
                <w:color w:val="000000"/>
                <w:kern w:val="0"/>
                <w:sz w:val="20"/>
                <w:szCs w:val="20"/>
              </w:rPr>
              <w:t>资产管理</w:t>
            </w:r>
          </w:p>
          <w:p>
            <w:pPr>
              <w:widowControl/>
              <w:jc w:val="center"/>
              <w:rPr>
                <w:rFonts w:hint="eastAsia" w:asciiTheme="minorEastAsia" w:hAnsiTheme="minorEastAsia" w:eastAsiaTheme="minorEastAsia" w:cstheme="minorEastAsia"/>
                <w:color w:val="000000"/>
                <w:kern w:val="0"/>
                <w:sz w:val="20"/>
                <w:szCs w:val="20"/>
              </w:rPr>
            </w:pPr>
            <w:r>
              <w:rPr>
                <w:rFonts w:hint="eastAsia" w:asciiTheme="minorEastAsia" w:hAnsiTheme="minorEastAsia" w:eastAsiaTheme="minorEastAsia" w:cstheme="minorEastAsia"/>
                <w:color w:val="000000"/>
                <w:kern w:val="0"/>
                <w:sz w:val="20"/>
                <w:szCs w:val="20"/>
              </w:rPr>
              <w:t>（4）</w:t>
            </w:r>
          </w:p>
        </w:tc>
        <w:tc>
          <w:tcPr>
            <w:tcW w:w="0" w:type="auto"/>
            <w:vAlign w:val="center"/>
          </w:tcPr>
          <w:p>
            <w:pPr>
              <w:widowControl/>
              <w:jc w:val="center"/>
              <w:rPr>
                <w:rFonts w:hint="eastAsia" w:asciiTheme="minorEastAsia" w:hAnsiTheme="minorEastAsia" w:eastAsiaTheme="minorEastAsia" w:cstheme="minorEastAsia"/>
                <w:color w:val="000000"/>
                <w:kern w:val="0"/>
                <w:sz w:val="20"/>
                <w:szCs w:val="20"/>
              </w:rPr>
            </w:pPr>
            <w:r>
              <w:rPr>
                <w:rFonts w:hint="eastAsia" w:asciiTheme="minorEastAsia" w:hAnsiTheme="minorEastAsia" w:eastAsiaTheme="minorEastAsia" w:cstheme="minorEastAsia"/>
                <w:color w:val="000000"/>
                <w:kern w:val="0"/>
                <w:sz w:val="20"/>
                <w:szCs w:val="20"/>
              </w:rPr>
              <w:t>资产管理规范性</w:t>
            </w:r>
          </w:p>
        </w:tc>
        <w:tc>
          <w:tcPr>
            <w:tcW w:w="0" w:type="auto"/>
            <w:vAlign w:val="center"/>
          </w:tcPr>
          <w:p>
            <w:pP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资产管理制度健全，执行规范</w:t>
            </w:r>
          </w:p>
        </w:tc>
        <w:tc>
          <w:tcPr>
            <w:tcW w:w="0" w:type="auto"/>
            <w:vAlign w:val="center"/>
          </w:tcPr>
          <w:p>
            <w:pP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资产管理制度健全，规范执行</w:t>
            </w:r>
          </w:p>
        </w:tc>
        <w:tc>
          <w:tcPr>
            <w:tcW w:w="0" w:type="auto"/>
            <w:vAlign w:val="center"/>
          </w:tcPr>
          <w:p>
            <w:pPr>
              <w:widowControl/>
              <w:jc w:val="center"/>
              <w:rPr>
                <w:rFonts w:hint="eastAsia" w:asciiTheme="minorEastAsia" w:hAnsiTheme="minorEastAsia" w:eastAsiaTheme="minorEastAsia" w:cstheme="minorEastAsia"/>
                <w:color w:val="000000"/>
                <w:kern w:val="0"/>
                <w:sz w:val="20"/>
                <w:szCs w:val="20"/>
              </w:rPr>
            </w:pPr>
            <w:r>
              <w:rPr>
                <w:rFonts w:hint="eastAsia" w:asciiTheme="minorEastAsia" w:hAnsiTheme="minorEastAsia" w:eastAsiaTheme="minorEastAsia" w:cstheme="minorEastAsia"/>
                <w:color w:val="000000"/>
                <w:kern w:val="0"/>
                <w:sz w:val="20"/>
                <w:szCs w:val="20"/>
              </w:rPr>
              <w:t>4</w:t>
            </w:r>
          </w:p>
        </w:tc>
        <w:tc>
          <w:tcPr>
            <w:tcW w:w="0" w:type="auto"/>
            <w:vAlign w:val="center"/>
          </w:tcPr>
          <w:p>
            <w:pPr>
              <w:widowControl/>
              <w:jc w:val="center"/>
              <w:rPr>
                <w:rFonts w:hint="eastAsia" w:asciiTheme="minorEastAsia" w:hAnsiTheme="minorEastAsia" w:eastAsiaTheme="minorEastAsia" w:cstheme="minorEastAsia"/>
                <w:color w:val="000000"/>
                <w:kern w:val="0"/>
                <w:sz w:val="20"/>
                <w:szCs w:val="20"/>
              </w:rPr>
            </w:pPr>
            <w:r>
              <w:rPr>
                <w:rFonts w:hint="eastAsia" w:asciiTheme="minorEastAsia" w:hAnsiTheme="minorEastAsia" w:eastAsiaTheme="minorEastAsia" w:cstheme="minorEastAsia"/>
                <w:color w:val="000000"/>
                <w:kern w:val="0"/>
                <w:sz w:val="20"/>
                <w:szCs w:val="20"/>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62" w:hRule="atLeast"/>
        </w:trPr>
        <w:tc>
          <w:tcPr>
            <w:tcW w:w="0" w:type="auto"/>
            <w:vMerge w:val="continue"/>
            <w:vAlign w:val="center"/>
          </w:tcPr>
          <w:p>
            <w:pPr>
              <w:widowControl/>
              <w:jc w:val="left"/>
              <w:rPr>
                <w:rFonts w:hint="eastAsia" w:asciiTheme="minorEastAsia" w:hAnsiTheme="minorEastAsia" w:eastAsiaTheme="minorEastAsia" w:cstheme="minorEastAsia"/>
                <w:color w:val="000000"/>
                <w:kern w:val="0"/>
                <w:sz w:val="20"/>
                <w:szCs w:val="20"/>
              </w:rPr>
            </w:pPr>
          </w:p>
        </w:tc>
        <w:tc>
          <w:tcPr>
            <w:tcW w:w="0" w:type="auto"/>
            <w:vAlign w:val="center"/>
          </w:tcPr>
          <w:p>
            <w:pPr>
              <w:widowControl/>
              <w:jc w:val="center"/>
              <w:rPr>
                <w:rFonts w:hint="eastAsia" w:asciiTheme="minorEastAsia" w:hAnsiTheme="minorEastAsia" w:eastAsiaTheme="minorEastAsia" w:cstheme="minorEastAsia"/>
                <w:color w:val="000000"/>
                <w:kern w:val="0"/>
                <w:sz w:val="20"/>
                <w:szCs w:val="20"/>
              </w:rPr>
            </w:pPr>
            <w:r>
              <w:rPr>
                <w:rFonts w:hint="eastAsia" w:asciiTheme="minorEastAsia" w:hAnsiTheme="minorEastAsia" w:eastAsiaTheme="minorEastAsia" w:cstheme="minorEastAsia"/>
                <w:color w:val="000000"/>
                <w:kern w:val="0"/>
                <w:sz w:val="20"/>
                <w:szCs w:val="20"/>
              </w:rPr>
              <w:t>绩效管理</w:t>
            </w:r>
          </w:p>
          <w:p>
            <w:pPr>
              <w:widowControl/>
              <w:jc w:val="center"/>
              <w:rPr>
                <w:rFonts w:hint="eastAsia" w:asciiTheme="minorEastAsia" w:hAnsiTheme="minorEastAsia" w:eastAsiaTheme="minorEastAsia" w:cstheme="minorEastAsia"/>
                <w:color w:val="000000"/>
                <w:kern w:val="0"/>
                <w:sz w:val="20"/>
                <w:szCs w:val="20"/>
              </w:rPr>
            </w:pPr>
            <w:r>
              <w:rPr>
                <w:rFonts w:hint="eastAsia" w:asciiTheme="minorEastAsia" w:hAnsiTheme="minorEastAsia" w:eastAsiaTheme="minorEastAsia" w:cstheme="minorEastAsia"/>
                <w:color w:val="000000"/>
                <w:kern w:val="0"/>
                <w:sz w:val="20"/>
                <w:szCs w:val="20"/>
              </w:rPr>
              <w:t>（4）</w:t>
            </w:r>
          </w:p>
        </w:tc>
        <w:tc>
          <w:tcPr>
            <w:tcW w:w="0" w:type="auto"/>
            <w:vAlign w:val="center"/>
          </w:tcPr>
          <w:p>
            <w:pPr>
              <w:widowControl/>
              <w:jc w:val="center"/>
              <w:rPr>
                <w:rFonts w:hint="eastAsia" w:asciiTheme="minorEastAsia" w:hAnsiTheme="minorEastAsia" w:eastAsiaTheme="minorEastAsia" w:cstheme="minorEastAsia"/>
                <w:color w:val="000000"/>
                <w:kern w:val="0"/>
                <w:sz w:val="20"/>
                <w:szCs w:val="20"/>
              </w:rPr>
            </w:pPr>
            <w:r>
              <w:rPr>
                <w:rFonts w:hint="eastAsia" w:asciiTheme="minorEastAsia" w:hAnsiTheme="minorEastAsia" w:eastAsiaTheme="minorEastAsia" w:cstheme="minorEastAsia"/>
                <w:color w:val="000000"/>
                <w:kern w:val="0"/>
                <w:sz w:val="20"/>
                <w:szCs w:val="20"/>
              </w:rPr>
              <w:t>绩效管理情况</w:t>
            </w:r>
          </w:p>
        </w:tc>
        <w:tc>
          <w:tcPr>
            <w:tcW w:w="0" w:type="auto"/>
            <w:vAlign w:val="center"/>
          </w:tcPr>
          <w:p>
            <w:pP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对绩效信息进行汇总分析整理；对绩效目标偏离情况及时进行矫正。</w:t>
            </w:r>
          </w:p>
        </w:tc>
        <w:tc>
          <w:tcPr>
            <w:tcW w:w="0" w:type="auto"/>
            <w:vAlign w:val="center"/>
          </w:tcPr>
          <w:p>
            <w:pP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及时对绩效信息进行汇总分析整理；对绩效目标偏离情况及时进行矫正。</w:t>
            </w:r>
          </w:p>
        </w:tc>
        <w:tc>
          <w:tcPr>
            <w:tcW w:w="0" w:type="auto"/>
            <w:vAlign w:val="center"/>
          </w:tcPr>
          <w:p>
            <w:pPr>
              <w:widowControl/>
              <w:jc w:val="center"/>
              <w:rPr>
                <w:rFonts w:hint="eastAsia" w:asciiTheme="minorEastAsia" w:hAnsiTheme="minorEastAsia" w:eastAsiaTheme="minorEastAsia" w:cstheme="minorEastAsia"/>
                <w:color w:val="000000"/>
                <w:kern w:val="0"/>
                <w:sz w:val="20"/>
                <w:szCs w:val="20"/>
              </w:rPr>
            </w:pPr>
            <w:r>
              <w:rPr>
                <w:rFonts w:hint="eastAsia" w:asciiTheme="minorEastAsia" w:hAnsiTheme="minorEastAsia" w:eastAsiaTheme="minorEastAsia" w:cstheme="minorEastAsia"/>
                <w:color w:val="000000"/>
                <w:kern w:val="0"/>
                <w:sz w:val="20"/>
                <w:szCs w:val="20"/>
              </w:rPr>
              <w:t>4</w:t>
            </w:r>
          </w:p>
        </w:tc>
        <w:tc>
          <w:tcPr>
            <w:tcW w:w="0" w:type="auto"/>
            <w:vAlign w:val="center"/>
          </w:tcPr>
          <w:p>
            <w:pPr>
              <w:widowControl/>
              <w:jc w:val="center"/>
              <w:rPr>
                <w:rFonts w:hint="eastAsia" w:asciiTheme="minorEastAsia" w:hAnsiTheme="minorEastAsia" w:eastAsiaTheme="minorEastAsia" w:cstheme="minorEastAsia"/>
                <w:color w:val="000000"/>
                <w:kern w:val="0"/>
                <w:sz w:val="20"/>
                <w:szCs w:val="20"/>
              </w:rPr>
            </w:pPr>
            <w:r>
              <w:rPr>
                <w:rFonts w:hint="eastAsia" w:asciiTheme="minorEastAsia" w:hAnsiTheme="minorEastAsia" w:eastAsiaTheme="minorEastAsia" w:cstheme="minorEastAsia"/>
                <w:color w:val="000000"/>
                <w:kern w:val="0"/>
                <w:sz w:val="20"/>
                <w:szCs w:val="20"/>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4" w:hRule="atLeast"/>
        </w:trPr>
        <w:tc>
          <w:tcPr>
            <w:tcW w:w="0" w:type="auto"/>
            <w:vMerge w:val="continue"/>
            <w:vAlign w:val="center"/>
          </w:tcPr>
          <w:p>
            <w:pPr>
              <w:widowControl/>
              <w:jc w:val="left"/>
              <w:rPr>
                <w:rFonts w:hint="eastAsia" w:asciiTheme="minorEastAsia" w:hAnsiTheme="minorEastAsia" w:eastAsiaTheme="minorEastAsia" w:cstheme="minorEastAsia"/>
                <w:color w:val="000000"/>
                <w:kern w:val="0"/>
                <w:sz w:val="20"/>
                <w:szCs w:val="20"/>
              </w:rPr>
            </w:pPr>
          </w:p>
        </w:tc>
        <w:tc>
          <w:tcPr>
            <w:tcW w:w="0" w:type="auto"/>
            <w:vAlign w:val="center"/>
          </w:tcPr>
          <w:p>
            <w:pPr>
              <w:widowControl/>
              <w:jc w:val="center"/>
              <w:rPr>
                <w:rFonts w:hint="eastAsia" w:asciiTheme="minorEastAsia" w:hAnsiTheme="minorEastAsia" w:eastAsiaTheme="minorEastAsia" w:cstheme="minorEastAsia"/>
                <w:color w:val="000000"/>
                <w:kern w:val="0"/>
                <w:sz w:val="20"/>
                <w:szCs w:val="20"/>
              </w:rPr>
            </w:pPr>
            <w:r>
              <w:rPr>
                <w:rFonts w:hint="eastAsia" w:asciiTheme="minorEastAsia" w:hAnsiTheme="minorEastAsia" w:eastAsiaTheme="minorEastAsia" w:cstheme="minorEastAsia"/>
                <w:color w:val="000000"/>
                <w:kern w:val="0"/>
                <w:sz w:val="20"/>
                <w:szCs w:val="20"/>
              </w:rPr>
              <w:t>指标　</w:t>
            </w:r>
          </w:p>
        </w:tc>
        <w:tc>
          <w:tcPr>
            <w:tcW w:w="0" w:type="auto"/>
            <w:gridSpan w:val="2"/>
            <w:vAlign w:val="center"/>
          </w:tcPr>
          <w:p>
            <w:pPr>
              <w:widowControl/>
              <w:jc w:val="center"/>
              <w:rPr>
                <w:rFonts w:hint="eastAsia" w:asciiTheme="minorEastAsia" w:hAnsiTheme="minorEastAsia" w:eastAsiaTheme="minorEastAsia" w:cstheme="minorEastAsia"/>
                <w:color w:val="000000"/>
                <w:kern w:val="0"/>
                <w:sz w:val="20"/>
                <w:szCs w:val="20"/>
              </w:rPr>
            </w:pPr>
            <w:r>
              <w:rPr>
                <w:rFonts w:hint="eastAsia" w:asciiTheme="minorEastAsia" w:hAnsiTheme="minorEastAsia" w:eastAsiaTheme="minorEastAsia" w:cstheme="minorEastAsia"/>
                <w:color w:val="000000"/>
                <w:kern w:val="0"/>
                <w:sz w:val="20"/>
                <w:szCs w:val="20"/>
              </w:rPr>
              <w:t>202</w:t>
            </w:r>
            <w:r>
              <w:rPr>
                <w:rFonts w:hint="eastAsia" w:asciiTheme="minorEastAsia" w:hAnsiTheme="minorEastAsia" w:eastAsiaTheme="minorEastAsia" w:cstheme="minorEastAsia"/>
                <w:color w:val="000000"/>
                <w:kern w:val="0"/>
                <w:sz w:val="20"/>
                <w:szCs w:val="20"/>
                <w:lang w:val="en-US" w:eastAsia="zh-CN"/>
              </w:rPr>
              <w:t>4</w:t>
            </w:r>
            <w:r>
              <w:rPr>
                <w:rFonts w:hint="eastAsia" w:asciiTheme="minorEastAsia" w:hAnsiTheme="minorEastAsia" w:eastAsiaTheme="minorEastAsia" w:cstheme="minorEastAsia"/>
                <w:color w:val="000000"/>
                <w:kern w:val="0"/>
                <w:sz w:val="20"/>
                <w:szCs w:val="20"/>
              </w:rPr>
              <w:t>年</w:t>
            </w:r>
          </w:p>
        </w:tc>
        <w:tc>
          <w:tcPr>
            <w:tcW w:w="0" w:type="auto"/>
            <w:vAlign w:val="center"/>
          </w:tcPr>
          <w:p>
            <w:pPr>
              <w:widowControl/>
              <w:jc w:val="center"/>
              <w:rPr>
                <w:rFonts w:hint="eastAsia" w:asciiTheme="minorEastAsia" w:hAnsiTheme="minorEastAsia" w:eastAsiaTheme="minorEastAsia" w:cstheme="minorEastAsia"/>
                <w:color w:val="000000"/>
                <w:kern w:val="0"/>
                <w:sz w:val="20"/>
                <w:szCs w:val="20"/>
              </w:rPr>
            </w:pPr>
            <w:r>
              <w:rPr>
                <w:rFonts w:hint="eastAsia" w:asciiTheme="minorEastAsia" w:hAnsiTheme="minorEastAsia" w:eastAsiaTheme="minorEastAsia" w:cstheme="minorEastAsia"/>
                <w:color w:val="000000"/>
                <w:kern w:val="0"/>
                <w:sz w:val="20"/>
                <w:szCs w:val="20"/>
              </w:rPr>
              <w:t>202</w:t>
            </w:r>
            <w:r>
              <w:rPr>
                <w:rFonts w:hint="eastAsia" w:asciiTheme="minorEastAsia" w:hAnsiTheme="minorEastAsia" w:eastAsiaTheme="minorEastAsia" w:cstheme="minorEastAsia"/>
                <w:color w:val="000000"/>
                <w:kern w:val="0"/>
                <w:sz w:val="20"/>
                <w:szCs w:val="20"/>
                <w:lang w:val="en-US" w:eastAsia="zh-CN"/>
              </w:rPr>
              <w:t>5</w:t>
            </w:r>
            <w:r>
              <w:rPr>
                <w:rFonts w:hint="eastAsia" w:asciiTheme="minorEastAsia" w:hAnsiTheme="minorEastAsia" w:eastAsiaTheme="minorEastAsia" w:cstheme="minorEastAsia"/>
                <w:color w:val="000000"/>
                <w:kern w:val="0"/>
                <w:sz w:val="20"/>
                <w:szCs w:val="20"/>
              </w:rPr>
              <w:t>年</w:t>
            </w:r>
          </w:p>
        </w:tc>
        <w:tc>
          <w:tcPr>
            <w:tcW w:w="0" w:type="auto"/>
            <w:vAlign w:val="center"/>
          </w:tcPr>
          <w:p>
            <w:pPr>
              <w:widowControl/>
              <w:jc w:val="center"/>
              <w:rPr>
                <w:rFonts w:hint="eastAsia" w:asciiTheme="minorEastAsia" w:hAnsiTheme="minorEastAsia" w:eastAsiaTheme="minorEastAsia" w:cstheme="minorEastAsia"/>
                <w:color w:val="000000"/>
                <w:kern w:val="0"/>
                <w:sz w:val="20"/>
                <w:szCs w:val="20"/>
              </w:rPr>
            </w:pPr>
            <w:r>
              <w:rPr>
                <w:rFonts w:hint="eastAsia" w:asciiTheme="minorEastAsia" w:hAnsiTheme="minorEastAsia" w:eastAsiaTheme="minorEastAsia" w:cstheme="minorEastAsia"/>
                <w:color w:val="000000"/>
                <w:kern w:val="0"/>
                <w:sz w:val="20"/>
                <w:szCs w:val="20"/>
              </w:rPr>
              <w:t>分值</w:t>
            </w:r>
          </w:p>
        </w:tc>
        <w:tc>
          <w:tcPr>
            <w:tcW w:w="0" w:type="auto"/>
            <w:vAlign w:val="center"/>
          </w:tcPr>
          <w:p>
            <w:pPr>
              <w:widowControl/>
              <w:jc w:val="center"/>
              <w:rPr>
                <w:rFonts w:hint="eastAsia" w:asciiTheme="minorEastAsia" w:hAnsiTheme="minorEastAsia" w:eastAsiaTheme="minorEastAsia" w:cstheme="minorEastAsia"/>
                <w:color w:val="000000"/>
                <w:kern w:val="0"/>
                <w:sz w:val="20"/>
                <w:szCs w:val="20"/>
              </w:rPr>
            </w:pPr>
            <w:r>
              <w:rPr>
                <w:rFonts w:hint="eastAsia" w:asciiTheme="minorEastAsia" w:hAnsiTheme="minorEastAsia" w:eastAsiaTheme="minorEastAsia" w:cstheme="minorEastAsia"/>
                <w:color w:val="000000"/>
                <w:kern w:val="0"/>
                <w:sz w:val="20"/>
                <w:szCs w:val="20"/>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0" w:type="auto"/>
            <w:vMerge w:val="continue"/>
            <w:vAlign w:val="center"/>
          </w:tcPr>
          <w:p>
            <w:pPr>
              <w:widowControl/>
              <w:jc w:val="left"/>
              <w:rPr>
                <w:rFonts w:hint="eastAsia" w:asciiTheme="minorEastAsia" w:hAnsiTheme="minorEastAsia" w:eastAsiaTheme="minorEastAsia" w:cstheme="minorEastAsia"/>
                <w:color w:val="000000"/>
                <w:kern w:val="0"/>
                <w:sz w:val="20"/>
                <w:szCs w:val="20"/>
              </w:rPr>
            </w:pPr>
          </w:p>
        </w:tc>
        <w:tc>
          <w:tcPr>
            <w:tcW w:w="0" w:type="auto"/>
            <w:vAlign w:val="center"/>
          </w:tcPr>
          <w:p>
            <w:pPr>
              <w:widowControl/>
              <w:jc w:val="center"/>
              <w:rPr>
                <w:rFonts w:hint="eastAsia" w:asciiTheme="minorEastAsia" w:hAnsiTheme="minorEastAsia" w:eastAsiaTheme="minorEastAsia" w:cstheme="minorEastAsia"/>
                <w:color w:val="000000"/>
                <w:kern w:val="0"/>
                <w:sz w:val="20"/>
                <w:szCs w:val="20"/>
              </w:rPr>
            </w:pPr>
            <w:r>
              <w:rPr>
                <w:rFonts w:hint="eastAsia" w:asciiTheme="minorEastAsia" w:hAnsiTheme="minorEastAsia" w:eastAsiaTheme="minorEastAsia" w:cstheme="minorEastAsia"/>
                <w:color w:val="000000"/>
                <w:kern w:val="0"/>
                <w:sz w:val="20"/>
                <w:szCs w:val="20"/>
              </w:rPr>
              <w:t>结转结余率</w:t>
            </w:r>
          </w:p>
          <w:p>
            <w:pPr>
              <w:widowControl/>
              <w:jc w:val="center"/>
              <w:rPr>
                <w:rFonts w:hint="eastAsia" w:asciiTheme="minorEastAsia" w:hAnsiTheme="minorEastAsia" w:eastAsiaTheme="minorEastAsia" w:cstheme="minorEastAsia"/>
                <w:color w:val="000000"/>
                <w:kern w:val="0"/>
                <w:sz w:val="20"/>
                <w:szCs w:val="20"/>
              </w:rPr>
            </w:pPr>
            <w:r>
              <w:rPr>
                <w:rFonts w:hint="eastAsia" w:asciiTheme="minorEastAsia" w:hAnsiTheme="minorEastAsia" w:eastAsiaTheme="minorEastAsia" w:cstheme="minorEastAsia"/>
                <w:color w:val="000000"/>
                <w:kern w:val="0"/>
                <w:sz w:val="20"/>
                <w:szCs w:val="20"/>
              </w:rPr>
              <w:t>（4）</w:t>
            </w:r>
          </w:p>
        </w:tc>
        <w:tc>
          <w:tcPr>
            <w:tcW w:w="0" w:type="auto"/>
            <w:gridSpan w:val="2"/>
            <w:vAlign w:val="center"/>
          </w:tcPr>
          <w:p>
            <w:pPr>
              <w:widowControl/>
              <w:jc w:val="center"/>
              <w:rPr>
                <w:rFonts w:hint="eastAsia" w:asciiTheme="minorEastAsia" w:hAnsiTheme="minorEastAsia" w:eastAsiaTheme="minorEastAsia" w:cstheme="minorEastAsia"/>
                <w:color w:val="000000"/>
                <w:kern w:val="0"/>
                <w:sz w:val="20"/>
                <w:szCs w:val="20"/>
                <w:highlight w:val="none"/>
              </w:rPr>
            </w:pPr>
            <w:r>
              <w:rPr>
                <w:rFonts w:hint="eastAsia" w:asciiTheme="minorEastAsia" w:hAnsiTheme="minorEastAsia" w:eastAsiaTheme="minorEastAsia" w:cstheme="minorEastAsia"/>
                <w:color w:val="000000"/>
                <w:kern w:val="0"/>
                <w:sz w:val="20"/>
                <w:szCs w:val="20"/>
                <w:highlight w:val="none"/>
                <w:lang w:val="en-US" w:eastAsia="zh-CN"/>
              </w:rPr>
              <w:t>5.07%</w:t>
            </w:r>
          </w:p>
        </w:tc>
        <w:tc>
          <w:tcPr>
            <w:tcW w:w="0" w:type="auto"/>
            <w:vAlign w:val="center"/>
          </w:tcPr>
          <w:p>
            <w:pPr>
              <w:widowControl/>
              <w:jc w:val="center"/>
              <w:rPr>
                <w:rFonts w:hint="eastAsia" w:asciiTheme="minorEastAsia" w:hAnsiTheme="minorEastAsia" w:eastAsiaTheme="minorEastAsia" w:cstheme="minorEastAsia"/>
                <w:color w:val="000000"/>
                <w:kern w:val="0"/>
                <w:sz w:val="20"/>
                <w:szCs w:val="20"/>
                <w:highlight w:val="none"/>
              </w:rPr>
            </w:pPr>
            <w:r>
              <w:rPr>
                <w:rFonts w:hint="eastAsia" w:asciiTheme="minorEastAsia" w:hAnsiTheme="minorEastAsia" w:eastAsiaTheme="minorEastAsia" w:cstheme="minorEastAsia"/>
                <w:color w:val="000000"/>
                <w:kern w:val="0"/>
                <w:sz w:val="20"/>
                <w:szCs w:val="20"/>
                <w:highlight w:val="none"/>
                <w:lang w:val="en-US" w:eastAsia="zh-CN"/>
              </w:rPr>
              <w:t>10.97%</w:t>
            </w:r>
          </w:p>
        </w:tc>
        <w:tc>
          <w:tcPr>
            <w:tcW w:w="0" w:type="auto"/>
            <w:vAlign w:val="center"/>
          </w:tcPr>
          <w:p>
            <w:pPr>
              <w:widowControl/>
              <w:jc w:val="center"/>
              <w:rPr>
                <w:rFonts w:hint="eastAsia" w:asciiTheme="minorEastAsia" w:hAnsiTheme="minorEastAsia" w:eastAsiaTheme="minorEastAsia" w:cstheme="minorEastAsia"/>
                <w:color w:val="000000"/>
                <w:kern w:val="0"/>
                <w:sz w:val="20"/>
                <w:szCs w:val="20"/>
                <w:highlight w:val="none"/>
              </w:rPr>
            </w:pPr>
            <w:r>
              <w:rPr>
                <w:rFonts w:hint="eastAsia" w:asciiTheme="minorEastAsia" w:hAnsiTheme="minorEastAsia" w:eastAsiaTheme="minorEastAsia" w:cstheme="minorEastAsia"/>
                <w:color w:val="000000"/>
                <w:kern w:val="0"/>
                <w:sz w:val="20"/>
                <w:szCs w:val="20"/>
                <w:highlight w:val="none"/>
              </w:rPr>
              <w:t>4</w:t>
            </w:r>
          </w:p>
        </w:tc>
        <w:tc>
          <w:tcPr>
            <w:tcW w:w="0" w:type="auto"/>
            <w:vAlign w:val="center"/>
          </w:tcPr>
          <w:p>
            <w:pPr>
              <w:widowControl/>
              <w:jc w:val="center"/>
              <w:rPr>
                <w:rFonts w:hint="default" w:asciiTheme="minorEastAsia" w:hAnsiTheme="minorEastAsia" w:eastAsiaTheme="minorEastAsia" w:cstheme="minorEastAsia"/>
                <w:color w:val="000000"/>
                <w:kern w:val="0"/>
                <w:sz w:val="20"/>
                <w:szCs w:val="20"/>
                <w:highlight w:val="none"/>
                <w:lang w:val="en-US" w:eastAsia="zh-CN"/>
              </w:rPr>
            </w:pPr>
            <w:r>
              <w:rPr>
                <w:rFonts w:hint="eastAsia" w:asciiTheme="minorEastAsia" w:hAnsiTheme="minorEastAsia" w:eastAsiaTheme="minorEastAsia" w:cstheme="minorEastAsia"/>
                <w:color w:val="000000"/>
                <w:kern w:val="0"/>
                <w:sz w:val="20"/>
                <w:szCs w:val="20"/>
                <w:highlight w:val="none"/>
                <w:lang w:val="en-US" w:eastAsia="zh-CN"/>
              </w:rPr>
              <w:t>1.64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8" w:hRule="atLeast"/>
        </w:trPr>
        <w:tc>
          <w:tcPr>
            <w:tcW w:w="0" w:type="auto"/>
            <w:vMerge w:val="continue"/>
            <w:vAlign w:val="center"/>
          </w:tcPr>
          <w:p>
            <w:pPr>
              <w:widowControl/>
              <w:jc w:val="left"/>
              <w:rPr>
                <w:rFonts w:hint="eastAsia" w:asciiTheme="minorEastAsia" w:hAnsiTheme="minorEastAsia" w:eastAsiaTheme="minorEastAsia" w:cstheme="minorEastAsia"/>
                <w:color w:val="000000"/>
                <w:kern w:val="0"/>
                <w:sz w:val="20"/>
                <w:szCs w:val="20"/>
              </w:rPr>
            </w:pPr>
          </w:p>
        </w:tc>
        <w:tc>
          <w:tcPr>
            <w:tcW w:w="0" w:type="auto"/>
            <w:vAlign w:val="center"/>
          </w:tcPr>
          <w:p>
            <w:pPr>
              <w:widowControl/>
              <w:jc w:val="center"/>
              <w:rPr>
                <w:rFonts w:hint="eastAsia" w:asciiTheme="minorEastAsia" w:hAnsiTheme="minorEastAsia" w:eastAsiaTheme="minorEastAsia" w:cstheme="minorEastAsia"/>
                <w:color w:val="000000"/>
                <w:kern w:val="0"/>
                <w:sz w:val="20"/>
                <w:szCs w:val="20"/>
              </w:rPr>
            </w:pPr>
            <w:r>
              <w:rPr>
                <w:rFonts w:hint="eastAsia" w:asciiTheme="minorEastAsia" w:hAnsiTheme="minorEastAsia" w:eastAsiaTheme="minorEastAsia" w:cstheme="minorEastAsia"/>
                <w:color w:val="000000"/>
                <w:kern w:val="0"/>
                <w:sz w:val="20"/>
                <w:szCs w:val="20"/>
              </w:rPr>
              <w:t>部门预决算差异率</w:t>
            </w:r>
          </w:p>
          <w:p>
            <w:pPr>
              <w:widowControl/>
              <w:jc w:val="center"/>
              <w:rPr>
                <w:rFonts w:hint="eastAsia" w:asciiTheme="minorEastAsia" w:hAnsiTheme="minorEastAsia" w:eastAsiaTheme="minorEastAsia" w:cstheme="minorEastAsia"/>
                <w:color w:val="000000"/>
                <w:kern w:val="0"/>
                <w:sz w:val="20"/>
                <w:szCs w:val="20"/>
              </w:rPr>
            </w:pPr>
            <w:r>
              <w:rPr>
                <w:rFonts w:hint="eastAsia" w:asciiTheme="minorEastAsia" w:hAnsiTheme="minorEastAsia" w:eastAsiaTheme="minorEastAsia" w:cstheme="minorEastAsia"/>
                <w:color w:val="000000"/>
                <w:kern w:val="0"/>
                <w:sz w:val="20"/>
                <w:szCs w:val="20"/>
              </w:rPr>
              <w:t>（4）</w:t>
            </w:r>
          </w:p>
        </w:tc>
        <w:tc>
          <w:tcPr>
            <w:tcW w:w="0" w:type="auto"/>
            <w:gridSpan w:val="2"/>
            <w:vAlign w:val="center"/>
          </w:tcPr>
          <w:p>
            <w:pPr>
              <w:widowControl/>
              <w:jc w:val="center"/>
              <w:rPr>
                <w:rFonts w:hint="eastAsia" w:asciiTheme="minorEastAsia" w:hAnsiTheme="minorEastAsia" w:eastAsiaTheme="minorEastAsia" w:cstheme="minorEastAsia"/>
                <w:color w:val="000000"/>
                <w:kern w:val="0"/>
                <w:sz w:val="20"/>
                <w:szCs w:val="20"/>
                <w:highlight w:val="none"/>
              </w:rPr>
            </w:pPr>
            <w:r>
              <w:rPr>
                <w:rFonts w:hint="eastAsia" w:asciiTheme="minorEastAsia" w:hAnsiTheme="minorEastAsia" w:eastAsiaTheme="minorEastAsia" w:cstheme="minorEastAsia"/>
                <w:color w:val="000000"/>
                <w:kern w:val="0"/>
                <w:sz w:val="20"/>
                <w:szCs w:val="20"/>
                <w:highlight w:val="none"/>
                <w:lang w:val="en-US" w:eastAsia="zh-CN"/>
              </w:rPr>
              <w:t>7.55%</w:t>
            </w:r>
          </w:p>
        </w:tc>
        <w:tc>
          <w:tcPr>
            <w:tcW w:w="0" w:type="auto"/>
            <w:vAlign w:val="center"/>
          </w:tcPr>
          <w:p>
            <w:pPr>
              <w:widowControl/>
              <w:jc w:val="center"/>
              <w:rPr>
                <w:rFonts w:hint="eastAsia" w:asciiTheme="minorEastAsia" w:hAnsiTheme="minorEastAsia" w:eastAsiaTheme="minorEastAsia" w:cstheme="minorEastAsia"/>
                <w:color w:val="000000"/>
                <w:kern w:val="0"/>
                <w:sz w:val="20"/>
                <w:szCs w:val="20"/>
                <w:highlight w:val="none"/>
              </w:rPr>
            </w:pPr>
            <w:r>
              <w:rPr>
                <w:rFonts w:hint="eastAsia" w:asciiTheme="minorEastAsia" w:hAnsiTheme="minorEastAsia" w:eastAsiaTheme="minorEastAsia" w:cstheme="minorEastAsia"/>
                <w:color w:val="000000"/>
                <w:kern w:val="0"/>
                <w:sz w:val="20"/>
                <w:szCs w:val="20"/>
                <w:highlight w:val="none"/>
                <w:lang w:val="en-US" w:eastAsia="zh-CN"/>
              </w:rPr>
              <w:t>8.7</w:t>
            </w:r>
            <w:r>
              <w:rPr>
                <w:rFonts w:hint="eastAsia" w:asciiTheme="minorEastAsia" w:hAnsiTheme="minorEastAsia" w:eastAsiaTheme="minorEastAsia" w:cstheme="minorEastAsia"/>
                <w:color w:val="000000"/>
                <w:kern w:val="0"/>
                <w:sz w:val="20"/>
                <w:szCs w:val="20"/>
                <w:highlight w:val="none"/>
              </w:rPr>
              <w:t>%</w:t>
            </w:r>
          </w:p>
        </w:tc>
        <w:tc>
          <w:tcPr>
            <w:tcW w:w="0" w:type="auto"/>
            <w:vAlign w:val="center"/>
          </w:tcPr>
          <w:p>
            <w:pPr>
              <w:widowControl/>
              <w:jc w:val="center"/>
              <w:rPr>
                <w:rFonts w:hint="eastAsia" w:asciiTheme="minorEastAsia" w:hAnsiTheme="minorEastAsia" w:eastAsiaTheme="minorEastAsia" w:cstheme="minorEastAsia"/>
                <w:color w:val="000000"/>
                <w:kern w:val="0"/>
                <w:sz w:val="20"/>
                <w:szCs w:val="20"/>
                <w:highlight w:val="none"/>
              </w:rPr>
            </w:pPr>
            <w:r>
              <w:rPr>
                <w:rFonts w:hint="eastAsia" w:asciiTheme="minorEastAsia" w:hAnsiTheme="minorEastAsia" w:eastAsiaTheme="minorEastAsia" w:cstheme="minorEastAsia"/>
                <w:color w:val="000000"/>
                <w:kern w:val="0"/>
                <w:sz w:val="20"/>
                <w:szCs w:val="20"/>
                <w:highlight w:val="none"/>
              </w:rPr>
              <w:t>4</w:t>
            </w:r>
          </w:p>
        </w:tc>
        <w:tc>
          <w:tcPr>
            <w:tcW w:w="0" w:type="auto"/>
            <w:vAlign w:val="center"/>
          </w:tcPr>
          <w:p>
            <w:pPr>
              <w:widowControl/>
              <w:jc w:val="center"/>
              <w:rPr>
                <w:rFonts w:hint="eastAsia" w:asciiTheme="minorEastAsia" w:hAnsiTheme="minorEastAsia" w:eastAsiaTheme="minorEastAsia" w:cstheme="minorEastAsia"/>
                <w:color w:val="000000"/>
                <w:kern w:val="0"/>
                <w:sz w:val="20"/>
                <w:szCs w:val="20"/>
                <w:highlight w:val="none"/>
              </w:rPr>
            </w:pPr>
            <w:r>
              <w:rPr>
                <w:rFonts w:hint="eastAsia" w:asciiTheme="minorEastAsia" w:hAnsiTheme="minorEastAsia" w:eastAsiaTheme="minorEastAsia" w:cstheme="minorEastAsia"/>
                <w:color w:val="000000"/>
                <w:kern w:val="0"/>
                <w:sz w:val="20"/>
                <w:szCs w:val="20"/>
                <w:highlight w:val="none"/>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4" w:hRule="atLeast"/>
        </w:trPr>
        <w:tc>
          <w:tcPr>
            <w:tcW w:w="0" w:type="auto"/>
            <w:gridSpan w:val="5"/>
            <w:vAlign w:val="center"/>
          </w:tcPr>
          <w:p>
            <w:pPr>
              <w:widowControl/>
              <w:jc w:val="center"/>
              <w:rPr>
                <w:rFonts w:hint="eastAsia" w:asciiTheme="minorEastAsia" w:hAnsiTheme="minorEastAsia" w:eastAsiaTheme="minorEastAsia" w:cstheme="minorEastAsia"/>
                <w:b/>
                <w:color w:val="000000"/>
                <w:kern w:val="0"/>
                <w:sz w:val="20"/>
                <w:szCs w:val="20"/>
              </w:rPr>
            </w:pPr>
            <w:r>
              <w:rPr>
                <w:rFonts w:hint="eastAsia" w:asciiTheme="minorEastAsia" w:hAnsiTheme="minorEastAsia" w:eastAsiaTheme="minorEastAsia" w:cstheme="minorEastAsia"/>
                <w:b/>
                <w:color w:val="000000"/>
                <w:kern w:val="0"/>
                <w:sz w:val="20"/>
                <w:szCs w:val="20"/>
              </w:rPr>
              <w:t>合计</w:t>
            </w:r>
          </w:p>
        </w:tc>
        <w:tc>
          <w:tcPr>
            <w:tcW w:w="0" w:type="auto"/>
            <w:vAlign w:val="center"/>
          </w:tcPr>
          <w:p>
            <w:pPr>
              <w:widowControl/>
              <w:jc w:val="center"/>
              <w:rPr>
                <w:rFonts w:hint="eastAsia" w:asciiTheme="minorEastAsia" w:hAnsiTheme="minorEastAsia" w:eastAsiaTheme="minorEastAsia" w:cstheme="minorEastAsia"/>
                <w:b/>
                <w:color w:val="000000"/>
                <w:kern w:val="0"/>
                <w:sz w:val="20"/>
                <w:szCs w:val="20"/>
              </w:rPr>
            </w:pPr>
            <w:r>
              <w:rPr>
                <w:rFonts w:hint="eastAsia" w:asciiTheme="minorEastAsia" w:hAnsiTheme="minorEastAsia" w:eastAsiaTheme="minorEastAsia" w:cstheme="minorEastAsia"/>
                <w:b/>
                <w:color w:val="000000"/>
                <w:kern w:val="0"/>
                <w:sz w:val="20"/>
                <w:szCs w:val="20"/>
              </w:rPr>
              <w:t>100.00</w:t>
            </w:r>
          </w:p>
        </w:tc>
        <w:tc>
          <w:tcPr>
            <w:tcW w:w="0" w:type="auto"/>
            <w:vAlign w:val="center"/>
          </w:tcPr>
          <w:p>
            <w:pPr>
              <w:widowControl/>
              <w:jc w:val="center"/>
              <w:rPr>
                <w:rFonts w:hint="default" w:asciiTheme="minorEastAsia" w:hAnsiTheme="minorEastAsia" w:eastAsiaTheme="minorEastAsia" w:cstheme="minorEastAsia"/>
                <w:b/>
                <w:color w:val="000000"/>
                <w:kern w:val="0"/>
                <w:sz w:val="20"/>
                <w:szCs w:val="20"/>
                <w:lang w:val="en-US" w:eastAsia="zh-CN"/>
              </w:rPr>
            </w:pPr>
            <w:r>
              <w:rPr>
                <w:rFonts w:hint="eastAsia" w:asciiTheme="minorEastAsia" w:hAnsiTheme="minorEastAsia" w:eastAsiaTheme="minorEastAsia" w:cstheme="minorEastAsia"/>
                <w:b/>
                <w:color w:val="000000"/>
                <w:kern w:val="0"/>
                <w:sz w:val="20"/>
                <w:szCs w:val="20"/>
                <w:lang w:val="en-US" w:eastAsia="zh-CN"/>
              </w:rPr>
              <w:t>91.95</w:t>
            </w:r>
          </w:p>
        </w:tc>
      </w:tr>
    </w:tbl>
    <w:p>
      <w:pPr>
        <w:pStyle w:val="6"/>
        <w:ind w:left="0" w:leftChars="0" w:firstLine="0" w:firstLineChars="0"/>
      </w:pPr>
    </w:p>
    <w:sectPr>
      <w:pgSz w:w="16838" w:h="11906" w:orient="landscape"/>
      <w:pgMar w:top="1800" w:right="1440" w:bottom="1800" w:left="1440" w:header="851" w:footer="992" w:gutter="0"/>
      <w:pgBorders>
        <w:top w:val="none" w:sz="0" w:space="0"/>
        <w:left w:val="none" w:sz="0" w:space="0"/>
        <w:bottom w:val="none" w:sz="0" w:space="0"/>
        <w:right w:val="none" w:sz="0" w:space="0"/>
      </w:pgBorders>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7A"/>
    <w:family w:val="auto"/>
    <w:pitch w:val="default"/>
    <w:sig w:usb0="00000000" w:usb1="00000000"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DejaVu Sans">
    <w:panose1 w:val="020B0603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微软雅黑">
    <w:altName w:val="方正黑体_GBK"/>
    <w:panose1 w:val="020B0503020204020204"/>
    <w:charset w:val="00"/>
    <w:family w:val="swiss"/>
    <w:pitch w:val="default"/>
    <w:sig w:usb0="00000000" w:usb1="00000000" w:usb2="00000016" w:usb3="00000000" w:csb0="0004001F" w:csb1="00000000"/>
  </w:font>
  <w:font w:name="方正黑体_GBK">
    <w:panose1 w:val="02000000000000000000"/>
    <w:charset w:val="86"/>
    <w:family w:val="auto"/>
    <w:pitch w:val="default"/>
    <w:sig w:usb0="00000001" w:usb1="08000000" w:usb2="00000000" w:usb3="00000000" w:csb0="00040000" w:csb1="00000000"/>
  </w:font>
  <w:font w:name="CESI黑体-GB2312">
    <w:panose1 w:val="02000500000000000000"/>
    <w:charset w:val="86"/>
    <w:family w:val="auto"/>
    <w:pitch w:val="default"/>
    <w:sig w:usb0="800002BF" w:usb1="184F6CF8" w:usb2="00000012" w:usb3="00000000" w:csb0="0004000F" w:csb1="00000000"/>
  </w:font>
  <w:font w:name="Cambria">
    <w:altName w:val="Noto Sans Syriac Eastern"/>
    <w:panose1 w:val="02040503050406030204"/>
    <w:charset w:val="00"/>
    <w:family w:val="roman"/>
    <w:pitch w:val="default"/>
    <w:sig w:usb0="00000000" w:usb1="00000000" w:usb2="02000000" w:usb3="00000000" w:csb0="2000019F" w:csb1="00000000"/>
  </w:font>
  <w:font w:name="Noto Sans Syriac Eastern">
    <w:panose1 w:val="02040503050306020203"/>
    <w:charset w:val="86"/>
    <w:family w:val="auto"/>
    <w:pitch w:val="default"/>
    <w:sig w:usb0="00000000" w:usb1="00000000" w:usb2="00000080" w:usb3="00000000" w:csb0="203E0161" w:csb1="D7FF0000"/>
  </w:font>
  <w:font w:name="方正小标宋简体">
    <w:panose1 w:val="02000000000000000000"/>
    <w:charset w:val="86"/>
    <w:family w:val="auto"/>
    <w:pitch w:val="default"/>
    <w:sig w:usb0="A00002BF" w:usb1="184F6CFA" w:usb2="00000012" w:usb3="00000000" w:csb0="00040001" w:csb1="00000000"/>
  </w:font>
  <w:font w:name="微软雅黑">
    <w:altName w:val="方正黑体_GBK"/>
    <w:panose1 w:val="020B0503020204020204"/>
    <w:charset w:val="86"/>
    <w:family w:val="auto"/>
    <w:pitch w:val="default"/>
    <w:sig w:usb0="00000000" w:usb1="00000000" w:usb2="00000016" w:usb3="00000000" w:csb0="0004001F" w:csb1="00000000"/>
  </w:font>
  <w:font w:name="楷体">
    <w:altName w:val="方正楷体_GBK"/>
    <w:panose1 w:val="02010609060101010101"/>
    <w:charset w:val="86"/>
    <w:family w:val="auto"/>
    <w:pitch w:val="default"/>
    <w:sig w:usb0="00000000" w:usb1="00000000" w:usb2="00000016" w:usb3="00000000" w:csb0="00040001" w:csb1="00000000"/>
  </w:font>
  <w:font w:name="方正楷体_GBK">
    <w:panose1 w:val="02000000000000000000"/>
    <w:charset w:val="86"/>
    <w:family w:val="auto"/>
    <w:pitch w:val="default"/>
    <w:sig w:usb0="00000001" w:usb1="08000000" w:usb2="00000000" w:usb3="00000000" w:csb0="00040000" w:csb1="00000000"/>
  </w:font>
  <w:font w:name="Noto Sans CJK JP Bold">
    <w:panose1 w:val="020B0800000000000000"/>
    <w:charset w:val="86"/>
    <w:family w:val="auto"/>
    <w:pitch w:val="default"/>
    <w:sig w:usb0="30000003" w:usb1="2BDF3C10" w:usb2="00000016" w:usb3="00000000" w:csb0="602E0107"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center"/>
      <w:rPr>
        <w:rFonts w:asciiTheme="majorEastAsia" w:hAnsiTheme="majorEastAsia" w:eastAsiaTheme="majorEastAsia"/>
        <w:sz w:val="21"/>
        <w:szCs w:val="21"/>
      </w:rPr>
    </w:pPr>
  </w:p>
  <w:p>
    <w:pPr>
      <w:pStyle w:val="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47467580"/>
    </w:sdtPr>
    <w:sdtEndPr>
      <w:rPr>
        <w:rFonts w:asciiTheme="majorEastAsia" w:hAnsiTheme="majorEastAsia" w:eastAsiaTheme="majorEastAsia"/>
        <w:sz w:val="21"/>
        <w:szCs w:val="21"/>
      </w:rPr>
    </w:sdtEndPr>
    <w:sdtContent>
      <w:p>
        <w:pPr>
          <w:pStyle w:val="8"/>
          <w:jc w:val="center"/>
          <w:rPr>
            <w:rFonts w:asciiTheme="majorEastAsia" w:hAnsiTheme="majorEastAsia" w:eastAsiaTheme="majorEastAsia"/>
            <w:sz w:val="21"/>
            <w:szCs w:val="21"/>
          </w:rPr>
        </w:pPr>
        <w:r>
          <w:rPr>
            <w:rFonts w:asciiTheme="majorEastAsia" w:hAnsiTheme="majorEastAsia" w:eastAsiaTheme="majorEastAsia"/>
            <w:sz w:val="21"/>
            <w:szCs w:val="21"/>
          </w:rPr>
          <w:fldChar w:fldCharType="begin"/>
        </w:r>
        <w:r>
          <w:rPr>
            <w:rFonts w:asciiTheme="majorEastAsia" w:hAnsiTheme="majorEastAsia" w:eastAsiaTheme="majorEastAsia"/>
            <w:sz w:val="21"/>
            <w:szCs w:val="21"/>
          </w:rPr>
          <w:instrText xml:space="preserve">PAGE   \* MERGEFORMAT</w:instrText>
        </w:r>
        <w:r>
          <w:rPr>
            <w:rFonts w:asciiTheme="majorEastAsia" w:hAnsiTheme="majorEastAsia" w:eastAsiaTheme="majorEastAsia"/>
            <w:sz w:val="21"/>
            <w:szCs w:val="21"/>
          </w:rPr>
          <w:fldChar w:fldCharType="separate"/>
        </w:r>
        <w:r>
          <w:rPr>
            <w:rFonts w:asciiTheme="majorEastAsia" w:hAnsiTheme="majorEastAsia" w:eastAsiaTheme="majorEastAsia"/>
            <w:sz w:val="21"/>
            <w:szCs w:val="21"/>
            <w:lang w:val="zh-CN"/>
          </w:rPr>
          <w:t>7</w:t>
        </w:r>
        <w:r>
          <w:rPr>
            <w:rFonts w:asciiTheme="majorEastAsia" w:hAnsiTheme="majorEastAsia" w:eastAsiaTheme="majorEastAsia"/>
            <w:sz w:val="21"/>
            <w:szCs w:val="21"/>
          </w:rPr>
          <w:fldChar w:fldCharType="end"/>
        </w:r>
      </w:p>
    </w:sdtContent>
  </w:sdt>
  <w:p>
    <w:pPr>
      <w:pStyle w:val="8"/>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A6DC9B9"/>
    <w:multiLevelType w:val="singleLevel"/>
    <w:tmpl w:val="2A6DC9B9"/>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90"/>
  <w:doNotDisplayPageBoundaries w:val="1"/>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JmNTAxYTA0NTllZTU0OWY5NWY0MWNlMzBjNGU2OTYifQ=="/>
  </w:docVars>
  <w:rsids>
    <w:rsidRoot w:val="6AD57397"/>
    <w:rsid w:val="018C519F"/>
    <w:rsid w:val="021A5358"/>
    <w:rsid w:val="03AE2F7B"/>
    <w:rsid w:val="03E47515"/>
    <w:rsid w:val="0431569E"/>
    <w:rsid w:val="05F51A46"/>
    <w:rsid w:val="06793E52"/>
    <w:rsid w:val="07E64E03"/>
    <w:rsid w:val="096609CC"/>
    <w:rsid w:val="09DA1277"/>
    <w:rsid w:val="0A10638E"/>
    <w:rsid w:val="0A3238C0"/>
    <w:rsid w:val="0AE53B72"/>
    <w:rsid w:val="0B04049C"/>
    <w:rsid w:val="0C426528"/>
    <w:rsid w:val="0C601702"/>
    <w:rsid w:val="0C9615C8"/>
    <w:rsid w:val="0D1C6F74"/>
    <w:rsid w:val="0E5338E8"/>
    <w:rsid w:val="0EDE0270"/>
    <w:rsid w:val="104135F9"/>
    <w:rsid w:val="10433815"/>
    <w:rsid w:val="11BD0FCA"/>
    <w:rsid w:val="11E20E0C"/>
    <w:rsid w:val="15391093"/>
    <w:rsid w:val="15EA27E6"/>
    <w:rsid w:val="161D2412"/>
    <w:rsid w:val="163C545D"/>
    <w:rsid w:val="18DF42F7"/>
    <w:rsid w:val="190E24E6"/>
    <w:rsid w:val="19FB686A"/>
    <w:rsid w:val="1AB21997"/>
    <w:rsid w:val="1CD31A7D"/>
    <w:rsid w:val="1CF06AA6"/>
    <w:rsid w:val="1D0E0D07"/>
    <w:rsid w:val="1E7E3C6A"/>
    <w:rsid w:val="1EE2069D"/>
    <w:rsid w:val="1FA53BA4"/>
    <w:rsid w:val="1FFAD45F"/>
    <w:rsid w:val="21333AE8"/>
    <w:rsid w:val="219E6AFD"/>
    <w:rsid w:val="21B171CD"/>
    <w:rsid w:val="21C127EB"/>
    <w:rsid w:val="21E07116"/>
    <w:rsid w:val="232A5D53"/>
    <w:rsid w:val="2424465B"/>
    <w:rsid w:val="248C290E"/>
    <w:rsid w:val="2592150D"/>
    <w:rsid w:val="25B83F05"/>
    <w:rsid w:val="26844111"/>
    <w:rsid w:val="26FC0AF9"/>
    <w:rsid w:val="27723BC9"/>
    <w:rsid w:val="28EB073C"/>
    <w:rsid w:val="29AB64C7"/>
    <w:rsid w:val="29AB7F18"/>
    <w:rsid w:val="2A4C68BF"/>
    <w:rsid w:val="2B3F23E7"/>
    <w:rsid w:val="2CD16A21"/>
    <w:rsid w:val="2DDA19BA"/>
    <w:rsid w:val="2F8530AA"/>
    <w:rsid w:val="2F9F8B3E"/>
    <w:rsid w:val="2FAD60E3"/>
    <w:rsid w:val="302B0487"/>
    <w:rsid w:val="30405223"/>
    <w:rsid w:val="30843362"/>
    <w:rsid w:val="31992E3D"/>
    <w:rsid w:val="33AB32FB"/>
    <w:rsid w:val="341D6486"/>
    <w:rsid w:val="35CE0055"/>
    <w:rsid w:val="39864AD3"/>
    <w:rsid w:val="3B756B82"/>
    <w:rsid w:val="3C3D5748"/>
    <w:rsid w:val="3C601127"/>
    <w:rsid w:val="3C6109FB"/>
    <w:rsid w:val="3C936AB7"/>
    <w:rsid w:val="3CAFD17F"/>
    <w:rsid w:val="3D803103"/>
    <w:rsid w:val="3D995BB2"/>
    <w:rsid w:val="3FB95510"/>
    <w:rsid w:val="4047615A"/>
    <w:rsid w:val="419C27C0"/>
    <w:rsid w:val="41AA69A0"/>
    <w:rsid w:val="424113C9"/>
    <w:rsid w:val="44241459"/>
    <w:rsid w:val="44AE0556"/>
    <w:rsid w:val="44D97C83"/>
    <w:rsid w:val="472D6E53"/>
    <w:rsid w:val="480454C2"/>
    <w:rsid w:val="487F0B87"/>
    <w:rsid w:val="49806836"/>
    <w:rsid w:val="4A7D2EA4"/>
    <w:rsid w:val="4AFD640E"/>
    <w:rsid w:val="4B56509D"/>
    <w:rsid w:val="4D476B6B"/>
    <w:rsid w:val="4D9F75D5"/>
    <w:rsid w:val="4E2A1660"/>
    <w:rsid w:val="4FA113E3"/>
    <w:rsid w:val="505D7D5A"/>
    <w:rsid w:val="51E12E0F"/>
    <w:rsid w:val="523A167B"/>
    <w:rsid w:val="534E2F1F"/>
    <w:rsid w:val="54C651A3"/>
    <w:rsid w:val="566F6BDB"/>
    <w:rsid w:val="589D7F5F"/>
    <w:rsid w:val="58C16652"/>
    <w:rsid w:val="58F51375"/>
    <w:rsid w:val="59D042BA"/>
    <w:rsid w:val="5A8D23E9"/>
    <w:rsid w:val="5ABF3065"/>
    <w:rsid w:val="5AFDACFC"/>
    <w:rsid w:val="5B3475AF"/>
    <w:rsid w:val="5B6F788F"/>
    <w:rsid w:val="5BF6FD79"/>
    <w:rsid w:val="5D2F78E1"/>
    <w:rsid w:val="5E2F220D"/>
    <w:rsid w:val="5FB78E56"/>
    <w:rsid w:val="5FE1582B"/>
    <w:rsid w:val="5FECC761"/>
    <w:rsid w:val="5FEF4D0F"/>
    <w:rsid w:val="60194FC5"/>
    <w:rsid w:val="60933066"/>
    <w:rsid w:val="60FB0B6F"/>
    <w:rsid w:val="63D538F9"/>
    <w:rsid w:val="6410048D"/>
    <w:rsid w:val="64F102BF"/>
    <w:rsid w:val="65C942BD"/>
    <w:rsid w:val="65CA0FFF"/>
    <w:rsid w:val="65DF3F07"/>
    <w:rsid w:val="68692862"/>
    <w:rsid w:val="69366BE8"/>
    <w:rsid w:val="6AD57397"/>
    <w:rsid w:val="6C4D6722"/>
    <w:rsid w:val="6CF21078"/>
    <w:rsid w:val="6CF60747"/>
    <w:rsid w:val="6E4163A0"/>
    <w:rsid w:val="6FFFE228"/>
    <w:rsid w:val="70117A67"/>
    <w:rsid w:val="70A24B63"/>
    <w:rsid w:val="70E62CA2"/>
    <w:rsid w:val="716F0EE9"/>
    <w:rsid w:val="717C04E6"/>
    <w:rsid w:val="71B320FE"/>
    <w:rsid w:val="71C94CB5"/>
    <w:rsid w:val="73410663"/>
    <w:rsid w:val="73697BBA"/>
    <w:rsid w:val="753B14AC"/>
    <w:rsid w:val="75AC2E67"/>
    <w:rsid w:val="764F1ABA"/>
    <w:rsid w:val="779F62DE"/>
    <w:rsid w:val="77D5F746"/>
    <w:rsid w:val="79776FAD"/>
    <w:rsid w:val="7ABE8D19"/>
    <w:rsid w:val="7AFC9DB0"/>
    <w:rsid w:val="7B4A02D1"/>
    <w:rsid w:val="7B656EB9"/>
    <w:rsid w:val="7B8046FC"/>
    <w:rsid w:val="7C374CF9"/>
    <w:rsid w:val="7DA71B04"/>
    <w:rsid w:val="7DD35A40"/>
    <w:rsid w:val="7DFF7067"/>
    <w:rsid w:val="7E1C4EBA"/>
    <w:rsid w:val="7F7D4471"/>
    <w:rsid w:val="7FBB4B1A"/>
    <w:rsid w:val="7FDF6953"/>
    <w:rsid w:val="7FED1085"/>
    <w:rsid w:val="7FF5021F"/>
    <w:rsid w:val="7FF76C79"/>
    <w:rsid w:val="7FFC84A7"/>
    <w:rsid w:val="7FFECB5C"/>
    <w:rsid w:val="8F2B39F7"/>
    <w:rsid w:val="94FFA60C"/>
    <w:rsid w:val="9D7DDE47"/>
    <w:rsid w:val="9EEF16F2"/>
    <w:rsid w:val="9FDE3FC7"/>
    <w:rsid w:val="AA639B3F"/>
    <w:rsid w:val="ABE85D11"/>
    <w:rsid w:val="B47CCAA1"/>
    <w:rsid w:val="BFB13E0E"/>
    <w:rsid w:val="BFF78987"/>
    <w:rsid w:val="CCFB14BA"/>
    <w:rsid w:val="D5F6E21C"/>
    <w:rsid w:val="D5FF2616"/>
    <w:rsid w:val="D6EDB926"/>
    <w:rsid w:val="DAEBA6FD"/>
    <w:rsid w:val="DFFF05B1"/>
    <w:rsid w:val="E7F6C2DB"/>
    <w:rsid w:val="EB1C8991"/>
    <w:rsid w:val="EB9EB144"/>
    <w:rsid w:val="EBFEA479"/>
    <w:rsid w:val="EFD67527"/>
    <w:rsid w:val="F3FFA824"/>
    <w:rsid w:val="F57E56D5"/>
    <w:rsid w:val="F75DD431"/>
    <w:rsid w:val="F77D838D"/>
    <w:rsid w:val="F77F1D0A"/>
    <w:rsid w:val="F7FF9B58"/>
    <w:rsid w:val="F7FF9F5A"/>
    <w:rsid w:val="FBABD722"/>
    <w:rsid w:val="FBC63CDE"/>
    <w:rsid w:val="FBE58147"/>
    <w:rsid w:val="FD9DF186"/>
    <w:rsid w:val="FDC8A933"/>
    <w:rsid w:val="FEF704BE"/>
    <w:rsid w:val="FF5956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qFormat="1" w:uiPriority="39"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iPriority="99"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2">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2">
    <w:name w:val="Title"/>
    <w:basedOn w:val="1"/>
    <w:next w:val="3"/>
    <w:qFormat/>
    <w:uiPriority w:val="0"/>
    <w:pPr>
      <w:spacing w:before="240" w:after="60"/>
      <w:jc w:val="center"/>
      <w:outlineLvl w:val="0"/>
    </w:pPr>
    <w:rPr>
      <w:rFonts w:ascii="Cambria" w:hAnsi="Cambria"/>
      <w:b/>
      <w:bCs/>
      <w:sz w:val="32"/>
      <w:szCs w:val="32"/>
    </w:rPr>
  </w:style>
  <w:style w:type="paragraph" w:styleId="3">
    <w:name w:val="Body Text Indent"/>
    <w:basedOn w:val="1"/>
    <w:next w:val="1"/>
    <w:semiHidden/>
    <w:unhideWhenUsed/>
    <w:qFormat/>
    <w:uiPriority w:val="99"/>
    <w:pPr>
      <w:spacing w:after="120"/>
      <w:ind w:left="420" w:leftChars="200"/>
    </w:pPr>
  </w:style>
  <w:style w:type="paragraph" w:styleId="4">
    <w:name w:val="Normal Indent"/>
    <w:basedOn w:val="1"/>
    <w:next w:val="1"/>
    <w:qFormat/>
    <w:uiPriority w:val="0"/>
    <w:pPr>
      <w:ind w:firstLine="200" w:firstLineChars="200"/>
    </w:pPr>
  </w:style>
  <w:style w:type="paragraph" w:styleId="5">
    <w:name w:val="annotation text"/>
    <w:basedOn w:val="1"/>
    <w:qFormat/>
    <w:uiPriority w:val="0"/>
    <w:pPr>
      <w:jc w:val="left"/>
    </w:pPr>
  </w:style>
  <w:style w:type="paragraph" w:styleId="6">
    <w:name w:val="Block Text"/>
    <w:basedOn w:val="1"/>
    <w:qFormat/>
    <w:uiPriority w:val="0"/>
    <w:pPr>
      <w:spacing w:after="120"/>
      <w:ind w:left="1440" w:leftChars="700" w:right="1440" w:rightChars="700"/>
    </w:pPr>
  </w:style>
  <w:style w:type="paragraph" w:styleId="7">
    <w:name w:val="toc 3"/>
    <w:basedOn w:val="1"/>
    <w:next w:val="1"/>
    <w:unhideWhenUsed/>
    <w:qFormat/>
    <w:uiPriority w:val="39"/>
    <w:pPr>
      <w:ind w:left="840" w:leftChars="400"/>
    </w:pPr>
  </w:style>
  <w:style w:type="paragraph" w:styleId="8">
    <w:name w:val="footer"/>
    <w:basedOn w:val="1"/>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0">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30</Pages>
  <Words>13692</Words>
  <Characters>14725</Characters>
  <Lines>0</Lines>
  <Paragraphs>0</Paragraphs>
  <TotalTime>43</TotalTime>
  <ScaleCrop>false</ScaleCrop>
  <LinksUpToDate>false</LinksUpToDate>
  <CharactersWithSpaces>14735</CharactersWithSpaces>
  <Application>WPS Office_11.8.2.12009_F1E327BC-269C-435d-A152-05C5408002CA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2024-04-29T09:56:00Z</dcterms:created>
  <dc:creator>AD钙</dc:creator>
  <cp:lastModifiedBy>user</cp:lastModifiedBy>
  <dcterms:modified xsi:type="dcterms:W3CDTF">2025-08-25T18:41:15Z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2052-11.8.2.12009</vt:lpwstr>
  </property>
  <property fmtid="{D5CDD505-2E9C-101B-9397-08002B2CF9AE}" pid="3" name="ICV">
    <vt:lpwstr>9CF0DCA50708457DA95B08D55243E371_13</vt:lpwstr>
  </property>
  <property fmtid="{D5CDD505-2E9C-101B-9397-08002B2CF9AE}" pid="4" name="KSOTemplateDocerSaveRecord">
    <vt:lpwstr>eyJoZGlkIjoiYWJmNTAxYTA0NTllZTU0OWY5NWY0MWNlMzBjNGU2OTYiLCJ1c2VySWQiOiI1NjUwOTYxOTcifQ==</vt:lpwstr>
  </property>
</Properties>
</file>