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16C9A0" w14:textId="77777777" w:rsidR="00172E5F" w:rsidRDefault="00172E5F">
      <w:pPr>
        <w:jc w:val="center"/>
        <w:rPr>
          <w:rFonts w:ascii="仿宋_GB2312" w:eastAsia="仿宋_GB2312"/>
          <w:b/>
          <w:sz w:val="32"/>
          <w:szCs w:val="32"/>
        </w:rPr>
      </w:pPr>
    </w:p>
    <w:p w14:paraId="2541BFCA" w14:textId="77777777" w:rsidR="00172E5F" w:rsidRDefault="00172E5F">
      <w:pPr>
        <w:jc w:val="center"/>
        <w:rPr>
          <w:rFonts w:ascii="黑体" w:eastAsia="黑体"/>
          <w:sz w:val="72"/>
          <w:szCs w:val="72"/>
        </w:rPr>
      </w:pPr>
    </w:p>
    <w:p w14:paraId="666778DB" w14:textId="77777777" w:rsidR="00172E5F" w:rsidRDefault="00172E5F">
      <w:pPr>
        <w:rPr>
          <w:rFonts w:ascii="黑体" w:eastAsia="黑体"/>
          <w:sz w:val="72"/>
          <w:szCs w:val="72"/>
        </w:rPr>
      </w:pPr>
    </w:p>
    <w:p w14:paraId="2A94468C" w14:textId="77777777" w:rsidR="00172E5F" w:rsidRDefault="00172E5F">
      <w:pPr>
        <w:jc w:val="center"/>
        <w:rPr>
          <w:rFonts w:ascii="黑体" w:eastAsia="黑体"/>
          <w:sz w:val="72"/>
          <w:szCs w:val="72"/>
        </w:rPr>
      </w:pPr>
    </w:p>
    <w:p w14:paraId="15632C4C" w14:textId="77777777" w:rsidR="00172E5F" w:rsidRDefault="00000000">
      <w:pPr>
        <w:jc w:val="center"/>
        <w:rPr>
          <w:rFonts w:ascii="黑体" w:eastAsia="黑体"/>
          <w:sz w:val="72"/>
          <w:szCs w:val="72"/>
        </w:rPr>
      </w:pPr>
      <w:r>
        <w:rPr>
          <w:rFonts w:ascii="黑体" w:eastAsia="黑体" w:hint="eastAsia"/>
          <w:sz w:val="72"/>
          <w:szCs w:val="72"/>
        </w:rPr>
        <w:t>2023年度部门决算</w:t>
      </w:r>
    </w:p>
    <w:p w14:paraId="18A7255F" w14:textId="77777777" w:rsidR="00172E5F" w:rsidRDefault="00172E5F">
      <w:pPr>
        <w:ind w:firstLineChars="200" w:firstLine="1440"/>
        <w:rPr>
          <w:rFonts w:ascii="黑体" w:eastAsia="黑体"/>
          <w:sz w:val="72"/>
          <w:szCs w:val="72"/>
        </w:rPr>
      </w:pPr>
    </w:p>
    <w:p w14:paraId="5F51651B" w14:textId="77777777" w:rsidR="00172E5F" w:rsidRDefault="00000000">
      <w:pPr>
        <w:jc w:val="center"/>
        <w:rPr>
          <w:rFonts w:ascii="黑体" w:eastAsia="黑体"/>
          <w:sz w:val="52"/>
          <w:szCs w:val="52"/>
        </w:rPr>
      </w:pPr>
      <w:r>
        <w:rPr>
          <w:rFonts w:ascii="宋体" w:hAnsi="宋体" w:hint="eastAsia"/>
          <w:sz w:val="36"/>
          <w:szCs w:val="36"/>
        </w:rPr>
        <w:t>单位名称：北京市农村经济研究中心</w:t>
      </w:r>
    </w:p>
    <w:p w14:paraId="50A0B478" w14:textId="77777777" w:rsidR="00172E5F" w:rsidRDefault="00172E5F">
      <w:pPr>
        <w:rPr>
          <w:rFonts w:ascii="黑体" w:eastAsia="黑体"/>
          <w:sz w:val="32"/>
          <w:szCs w:val="32"/>
        </w:rPr>
      </w:pPr>
    </w:p>
    <w:p w14:paraId="40383C81" w14:textId="77777777" w:rsidR="00172E5F" w:rsidRDefault="00172E5F">
      <w:pPr>
        <w:spacing w:line="500" w:lineRule="exact"/>
        <w:ind w:firstLine="645"/>
        <w:jc w:val="center"/>
        <w:rPr>
          <w:rFonts w:ascii="宋体" w:hAnsi="宋体" w:cs="宋体" w:hint="eastAsia"/>
          <w:b/>
          <w:bCs/>
          <w:kern w:val="0"/>
          <w:sz w:val="44"/>
          <w:szCs w:val="36"/>
        </w:rPr>
      </w:pPr>
    </w:p>
    <w:p w14:paraId="487603B2" w14:textId="77777777" w:rsidR="00172E5F" w:rsidRDefault="00172E5F">
      <w:pPr>
        <w:spacing w:line="500" w:lineRule="exact"/>
        <w:ind w:firstLine="645"/>
        <w:jc w:val="center"/>
        <w:rPr>
          <w:rFonts w:ascii="宋体" w:hAnsi="宋体" w:cs="宋体" w:hint="eastAsia"/>
          <w:b/>
          <w:bCs/>
          <w:kern w:val="0"/>
          <w:sz w:val="44"/>
          <w:szCs w:val="36"/>
        </w:rPr>
      </w:pPr>
    </w:p>
    <w:p w14:paraId="72788D8A" w14:textId="77777777" w:rsidR="00172E5F" w:rsidRDefault="00000000">
      <w:pPr>
        <w:spacing w:line="500" w:lineRule="exact"/>
        <w:ind w:firstLine="645"/>
        <w:jc w:val="center"/>
        <w:rPr>
          <w:rFonts w:ascii="宋体" w:hAnsi="宋体" w:cs="宋体" w:hint="eastAsia"/>
          <w:b/>
          <w:bCs/>
          <w:kern w:val="0"/>
          <w:sz w:val="44"/>
          <w:szCs w:val="36"/>
        </w:rPr>
      </w:pPr>
      <w:r>
        <w:rPr>
          <w:rFonts w:ascii="宋体" w:hAnsi="宋体" w:cs="宋体" w:hint="eastAsia"/>
          <w:b/>
          <w:bCs/>
          <w:kern w:val="0"/>
          <w:sz w:val="44"/>
          <w:szCs w:val="36"/>
        </w:rPr>
        <w:t>目    录</w:t>
      </w:r>
    </w:p>
    <w:p w14:paraId="15DAEB16" w14:textId="77777777" w:rsidR="00172E5F" w:rsidRDefault="00172E5F">
      <w:pPr>
        <w:spacing w:line="500" w:lineRule="exact"/>
        <w:ind w:firstLine="645"/>
        <w:jc w:val="center"/>
        <w:rPr>
          <w:rFonts w:ascii="宋体" w:hAnsi="宋体" w:cs="宋体" w:hint="eastAsia"/>
          <w:b/>
          <w:bCs/>
          <w:kern w:val="0"/>
          <w:sz w:val="36"/>
          <w:szCs w:val="36"/>
        </w:rPr>
      </w:pPr>
    </w:p>
    <w:p w14:paraId="0A795987" w14:textId="77777777" w:rsidR="00172E5F" w:rsidRDefault="00000000">
      <w:pPr>
        <w:tabs>
          <w:tab w:val="center" w:pos="6979"/>
        </w:tabs>
        <w:spacing w:line="500" w:lineRule="exact"/>
        <w:ind w:firstLineChars="400" w:firstLine="1600"/>
        <w:jc w:val="left"/>
        <w:rPr>
          <w:rFonts w:ascii="宋体" w:hAnsi="宋体" w:cs="宋体" w:hint="eastAsia"/>
          <w:bCs/>
          <w:spacing w:val="40"/>
          <w:kern w:val="0"/>
          <w:sz w:val="32"/>
          <w:szCs w:val="32"/>
        </w:rPr>
      </w:pPr>
      <w:r>
        <w:rPr>
          <w:rFonts w:ascii="宋体" w:hAnsi="宋体" w:cs="宋体" w:hint="eastAsia"/>
          <w:bCs/>
          <w:spacing w:val="40"/>
          <w:kern w:val="0"/>
          <w:sz w:val="32"/>
          <w:szCs w:val="32"/>
        </w:rPr>
        <w:t>第一部分 2023年度部门决算报表</w:t>
      </w:r>
    </w:p>
    <w:p w14:paraId="6C6C3BCC" w14:textId="77777777" w:rsidR="00172E5F" w:rsidRDefault="00000000">
      <w:pPr>
        <w:tabs>
          <w:tab w:val="center" w:pos="6979"/>
        </w:tabs>
        <w:spacing w:line="500" w:lineRule="exact"/>
        <w:ind w:firstLineChars="600" w:firstLine="2400"/>
        <w:jc w:val="left"/>
        <w:rPr>
          <w:rFonts w:ascii="仿宋_GB2312" w:eastAsia="仿宋_GB2312" w:hAnsi="仿宋" w:hint="eastAsia"/>
          <w:spacing w:val="40"/>
          <w:sz w:val="32"/>
          <w:szCs w:val="32"/>
        </w:rPr>
      </w:pPr>
      <w:r>
        <w:rPr>
          <w:rFonts w:ascii="仿宋_GB2312" w:eastAsia="仿宋_GB2312" w:hAnsi="仿宋" w:cs="宋体" w:hint="eastAsia"/>
          <w:bCs/>
          <w:spacing w:val="40"/>
          <w:kern w:val="0"/>
          <w:sz w:val="32"/>
          <w:szCs w:val="32"/>
        </w:rPr>
        <w:t>一、收入支出决算总表</w:t>
      </w:r>
    </w:p>
    <w:p w14:paraId="0F3F0450" w14:textId="77777777" w:rsidR="00172E5F" w:rsidRDefault="0000000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lastRenderedPageBreak/>
        <w:t>二、收入决算表</w:t>
      </w:r>
    </w:p>
    <w:p w14:paraId="7F9526A2" w14:textId="77777777" w:rsidR="00172E5F" w:rsidRDefault="0000000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三、支出决算表</w:t>
      </w:r>
    </w:p>
    <w:p w14:paraId="17F81030" w14:textId="77777777" w:rsidR="00172E5F" w:rsidRDefault="0000000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四、财政拨款收入支出决算总表</w:t>
      </w:r>
    </w:p>
    <w:p w14:paraId="2291B451" w14:textId="77777777" w:rsidR="00172E5F" w:rsidRDefault="0000000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五、一般公共预算财政拨款收入支出决算表</w:t>
      </w:r>
    </w:p>
    <w:p w14:paraId="4ABF47B7" w14:textId="77777777" w:rsidR="00172E5F" w:rsidRDefault="0000000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六、一般公共预算财政拨款支出决算表</w:t>
      </w:r>
    </w:p>
    <w:p w14:paraId="272F0B7A" w14:textId="77777777" w:rsidR="00172E5F" w:rsidRDefault="0000000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七、一般公共预算财政拨款</w:t>
      </w:r>
      <w:r>
        <w:rPr>
          <w:rFonts w:ascii="仿宋_GB2312" w:eastAsia="仿宋_GB2312" w:hAnsi="仿宋" w:cs="宋体"/>
          <w:bCs/>
          <w:spacing w:val="40"/>
          <w:kern w:val="0"/>
          <w:sz w:val="32"/>
          <w:szCs w:val="32"/>
        </w:rPr>
        <w:t>基本支出决算表</w:t>
      </w:r>
    </w:p>
    <w:p w14:paraId="52D8128C" w14:textId="77777777" w:rsidR="00172E5F" w:rsidRDefault="0000000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八</w:t>
      </w:r>
      <w:r>
        <w:rPr>
          <w:rFonts w:ascii="仿宋_GB2312" w:eastAsia="仿宋_GB2312" w:hAnsi="仿宋" w:cs="宋体"/>
          <w:bCs/>
          <w:spacing w:val="40"/>
          <w:kern w:val="0"/>
          <w:sz w:val="32"/>
          <w:szCs w:val="32"/>
        </w:rPr>
        <w:t>、</w:t>
      </w:r>
      <w:r>
        <w:rPr>
          <w:rFonts w:ascii="仿宋_GB2312" w:eastAsia="仿宋_GB2312" w:hAnsi="仿宋" w:cs="宋体" w:hint="eastAsia"/>
          <w:bCs/>
          <w:spacing w:val="40"/>
          <w:kern w:val="0"/>
          <w:sz w:val="32"/>
          <w:szCs w:val="32"/>
        </w:rPr>
        <w:t>政府性基金预算财政拨款收入支出决算表</w:t>
      </w:r>
    </w:p>
    <w:p w14:paraId="464C6CC9" w14:textId="77777777" w:rsidR="00172E5F" w:rsidRDefault="0000000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九、</w:t>
      </w:r>
      <w:r>
        <w:rPr>
          <w:rFonts w:ascii="仿宋_GB2312" w:eastAsia="仿宋_GB2312" w:hAnsi="仿宋" w:cs="宋体"/>
          <w:bCs/>
          <w:spacing w:val="40"/>
          <w:kern w:val="0"/>
          <w:sz w:val="32"/>
          <w:szCs w:val="32"/>
        </w:rPr>
        <w:t>政府性基金</w:t>
      </w:r>
      <w:r>
        <w:rPr>
          <w:rFonts w:ascii="仿宋_GB2312" w:eastAsia="仿宋_GB2312" w:hAnsi="仿宋" w:cs="宋体" w:hint="eastAsia"/>
          <w:bCs/>
          <w:spacing w:val="40"/>
          <w:kern w:val="0"/>
          <w:sz w:val="32"/>
          <w:szCs w:val="32"/>
        </w:rPr>
        <w:t>预算</w:t>
      </w:r>
      <w:r>
        <w:rPr>
          <w:rFonts w:ascii="仿宋_GB2312" w:eastAsia="仿宋_GB2312" w:hAnsi="仿宋" w:cs="宋体"/>
          <w:bCs/>
          <w:spacing w:val="40"/>
          <w:kern w:val="0"/>
          <w:sz w:val="32"/>
          <w:szCs w:val="32"/>
        </w:rPr>
        <w:t>财政拨款基本支出决算表</w:t>
      </w:r>
    </w:p>
    <w:p w14:paraId="7CF63262" w14:textId="77777777" w:rsidR="00172E5F" w:rsidRDefault="0000000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十、国有资本经营预算财政拨款支出决算表</w:t>
      </w:r>
    </w:p>
    <w:p w14:paraId="0BF7D1DD" w14:textId="77777777" w:rsidR="00172E5F" w:rsidRDefault="0000000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十一、财政拨款“三公”经费支出决算表</w:t>
      </w:r>
    </w:p>
    <w:p w14:paraId="3D3AD34B" w14:textId="77777777" w:rsidR="00172E5F" w:rsidRDefault="0000000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十二、政府采购情况表</w:t>
      </w:r>
    </w:p>
    <w:p w14:paraId="14C8AD14" w14:textId="77777777" w:rsidR="00172E5F" w:rsidRDefault="00000000">
      <w:pPr>
        <w:tabs>
          <w:tab w:val="center" w:pos="6979"/>
        </w:tabs>
        <w:spacing w:line="500" w:lineRule="exact"/>
        <w:ind w:firstLineChars="600" w:firstLine="2400"/>
        <w:jc w:val="left"/>
        <w:rPr>
          <w:rFonts w:ascii="仿宋_GB2312" w:eastAsia="仿宋_GB2312" w:hAnsi="仿宋" w:cs="宋体" w:hint="eastAsia"/>
          <w:bCs/>
          <w:spacing w:val="40"/>
          <w:kern w:val="0"/>
          <w:sz w:val="32"/>
          <w:szCs w:val="32"/>
        </w:rPr>
      </w:pPr>
      <w:r>
        <w:rPr>
          <w:rFonts w:ascii="仿宋_GB2312" w:eastAsia="仿宋_GB2312" w:hAnsi="仿宋" w:cs="宋体" w:hint="eastAsia"/>
          <w:bCs/>
          <w:spacing w:val="40"/>
          <w:kern w:val="0"/>
          <w:sz w:val="32"/>
          <w:szCs w:val="32"/>
        </w:rPr>
        <w:t>十三、政府购买服务决算公开情况表</w:t>
      </w:r>
    </w:p>
    <w:p w14:paraId="71A4A105" w14:textId="77777777" w:rsidR="00172E5F" w:rsidRDefault="00000000">
      <w:pPr>
        <w:tabs>
          <w:tab w:val="center" w:pos="6979"/>
        </w:tabs>
        <w:spacing w:line="500" w:lineRule="exact"/>
        <w:ind w:firstLineChars="400" w:firstLine="1600"/>
        <w:jc w:val="left"/>
        <w:rPr>
          <w:rFonts w:ascii="宋体" w:hAnsi="宋体" w:cs="宋体" w:hint="eastAsia"/>
          <w:bCs/>
          <w:spacing w:val="40"/>
          <w:kern w:val="0"/>
          <w:sz w:val="32"/>
          <w:szCs w:val="32"/>
        </w:rPr>
      </w:pPr>
      <w:r>
        <w:rPr>
          <w:rFonts w:ascii="宋体" w:hAnsi="宋体" w:cs="宋体" w:hint="eastAsia"/>
          <w:bCs/>
          <w:spacing w:val="40"/>
          <w:kern w:val="0"/>
          <w:sz w:val="32"/>
          <w:szCs w:val="32"/>
        </w:rPr>
        <w:t xml:space="preserve">第二部分 </w:t>
      </w:r>
      <w:r>
        <w:rPr>
          <w:rFonts w:ascii="宋体" w:hAnsi="宋体" w:hint="eastAsia"/>
          <w:spacing w:val="40"/>
          <w:sz w:val="32"/>
          <w:szCs w:val="32"/>
        </w:rPr>
        <w:t>2023年度部门决算说明</w:t>
      </w:r>
    </w:p>
    <w:p w14:paraId="53C224F7" w14:textId="77777777" w:rsidR="00172E5F" w:rsidRDefault="00000000">
      <w:pPr>
        <w:tabs>
          <w:tab w:val="center" w:pos="6979"/>
        </w:tabs>
        <w:spacing w:line="500" w:lineRule="exact"/>
        <w:ind w:firstLineChars="400" w:firstLine="1600"/>
        <w:jc w:val="left"/>
        <w:rPr>
          <w:rFonts w:ascii="宋体" w:hAnsi="宋体" w:cs="宋体" w:hint="eastAsia"/>
          <w:spacing w:val="40"/>
          <w:kern w:val="0"/>
          <w:sz w:val="32"/>
          <w:szCs w:val="32"/>
        </w:rPr>
      </w:pPr>
      <w:r>
        <w:rPr>
          <w:rFonts w:ascii="宋体" w:hAnsi="宋体" w:cs="宋体" w:hint="eastAsia"/>
          <w:bCs/>
          <w:spacing w:val="40"/>
          <w:kern w:val="0"/>
          <w:sz w:val="32"/>
          <w:szCs w:val="32"/>
        </w:rPr>
        <w:t xml:space="preserve">第三部分 </w:t>
      </w:r>
      <w:r>
        <w:rPr>
          <w:rFonts w:ascii="宋体" w:hAnsi="宋体" w:hint="eastAsia"/>
          <w:spacing w:val="40"/>
          <w:sz w:val="32"/>
          <w:szCs w:val="32"/>
        </w:rPr>
        <w:t>2023年度</w:t>
      </w:r>
      <w:r>
        <w:rPr>
          <w:rFonts w:ascii="宋体" w:hAnsi="宋体" w:cs="宋体" w:hint="eastAsia"/>
          <w:spacing w:val="40"/>
          <w:kern w:val="0"/>
          <w:sz w:val="32"/>
          <w:szCs w:val="32"/>
        </w:rPr>
        <w:t>其他重要事项的情况说明</w:t>
      </w:r>
    </w:p>
    <w:p w14:paraId="5A110427" w14:textId="77777777" w:rsidR="00172E5F" w:rsidRDefault="00000000">
      <w:pPr>
        <w:tabs>
          <w:tab w:val="center" w:pos="6979"/>
        </w:tabs>
        <w:spacing w:line="500" w:lineRule="exact"/>
        <w:ind w:firstLineChars="400" w:firstLine="1600"/>
        <w:jc w:val="left"/>
        <w:rPr>
          <w:rFonts w:ascii="宋体" w:hAnsi="宋体" w:cs="宋体" w:hint="eastAsia"/>
          <w:spacing w:val="40"/>
          <w:kern w:val="0"/>
          <w:sz w:val="36"/>
          <w:szCs w:val="32"/>
        </w:rPr>
      </w:pPr>
      <w:r>
        <w:rPr>
          <w:rFonts w:ascii="宋体" w:hAnsi="宋体" w:cs="宋体" w:hint="eastAsia"/>
          <w:spacing w:val="40"/>
          <w:kern w:val="0"/>
          <w:sz w:val="32"/>
          <w:szCs w:val="32"/>
        </w:rPr>
        <w:t>第四部分 2023年度部门绩效评价情况</w:t>
      </w:r>
    </w:p>
    <w:p w14:paraId="59D91FA3" w14:textId="77777777" w:rsidR="00172E5F" w:rsidRDefault="00172E5F">
      <w:pPr>
        <w:tabs>
          <w:tab w:val="center" w:pos="6979"/>
        </w:tabs>
        <w:spacing w:beforeLines="50" w:before="156" w:afterLines="50" w:after="156"/>
        <w:jc w:val="center"/>
        <w:rPr>
          <w:rFonts w:ascii="宋体" w:hAnsi="宋体" w:cs="宋体" w:hint="eastAsia"/>
          <w:b/>
          <w:bCs/>
          <w:spacing w:val="40"/>
          <w:kern w:val="0"/>
          <w:sz w:val="32"/>
          <w:szCs w:val="32"/>
        </w:rPr>
      </w:pPr>
    </w:p>
    <w:p w14:paraId="799F9763" w14:textId="77777777" w:rsidR="00172E5F" w:rsidRDefault="00172E5F">
      <w:pPr>
        <w:tabs>
          <w:tab w:val="center" w:pos="6979"/>
        </w:tabs>
        <w:spacing w:beforeLines="50" w:before="156" w:afterLines="50" w:after="156"/>
        <w:rPr>
          <w:rFonts w:ascii="宋体" w:hAnsi="宋体" w:cs="宋体" w:hint="eastAsia"/>
          <w:b/>
          <w:bCs/>
          <w:spacing w:val="40"/>
          <w:kern w:val="0"/>
          <w:sz w:val="44"/>
          <w:szCs w:val="44"/>
        </w:rPr>
      </w:pPr>
    </w:p>
    <w:p w14:paraId="7A7FB5BC" w14:textId="77777777" w:rsidR="00172E5F" w:rsidRDefault="00172E5F">
      <w:pPr>
        <w:pStyle w:val="a0"/>
        <w:ind w:firstLine="1043"/>
        <w:rPr>
          <w:rFonts w:ascii="宋体" w:hAnsi="宋体" w:cs="宋体" w:hint="eastAsia"/>
          <w:b/>
          <w:bCs/>
          <w:spacing w:val="40"/>
          <w:kern w:val="0"/>
          <w:sz w:val="44"/>
          <w:szCs w:val="44"/>
        </w:rPr>
      </w:pPr>
    </w:p>
    <w:p w14:paraId="106BE868" w14:textId="77777777" w:rsidR="00172E5F" w:rsidRDefault="00172E5F">
      <w:pPr>
        <w:pStyle w:val="a0"/>
        <w:ind w:firstLine="1043"/>
        <w:rPr>
          <w:rFonts w:ascii="宋体" w:hAnsi="宋体" w:cs="宋体" w:hint="eastAsia"/>
          <w:b/>
          <w:bCs/>
          <w:spacing w:val="40"/>
          <w:kern w:val="0"/>
          <w:sz w:val="44"/>
          <w:szCs w:val="44"/>
        </w:rPr>
      </w:pPr>
    </w:p>
    <w:p w14:paraId="16BFA20B" w14:textId="77777777" w:rsidR="00172E5F" w:rsidRDefault="00172E5F">
      <w:pPr>
        <w:pStyle w:val="a0"/>
        <w:ind w:firstLine="420"/>
      </w:pPr>
    </w:p>
    <w:p w14:paraId="50B845AE" w14:textId="77777777" w:rsidR="00172E5F" w:rsidRDefault="00000000">
      <w:pPr>
        <w:tabs>
          <w:tab w:val="center" w:pos="6979"/>
        </w:tabs>
        <w:spacing w:beforeLines="50" w:before="156" w:afterLines="50" w:after="156"/>
        <w:jc w:val="center"/>
        <w:rPr>
          <w:rFonts w:ascii="宋体" w:hAnsi="宋体" w:cs="宋体" w:hint="eastAsia"/>
          <w:b/>
          <w:bCs/>
          <w:spacing w:val="40"/>
          <w:kern w:val="0"/>
          <w:sz w:val="44"/>
          <w:szCs w:val="44"/>
        </w:rPr>
      </w:pPr>
      <w:r>
        <w:rPr>
          <w:rFonts w:ascii="宋体" w:hAnsi="宋体" w:cs="宋体" w:hint="eastAsia"/>
          <w:b/>
          <w:bCs/>
          <w:spacing w:val="40"/>
          <w:kern w:val="0"/>
          <w:sz w:val="44"/>
          <w:szCs w:val="44"/>
        </w:rPr>
        <w:t>第一部分2023年度部门决算报表</w:t>
      </w:r>
    </w:p>
    <w:p w14:paraId="4855FB34" w14:textId="77777777" w:rsidR="00172E5F" w:rsidRDefault="00172E5F">
      <w:pPr>
        <w:tabs>
          <w:tab w:val="center" w:pos="6979"/>
        </w:tabs>
        <w:spacing w:beforeLines="50" w:before="156" w:afterLines="50" w:after="156"/>
        <w:ind w:firstLineChars="400" w:firstLine="1120"/>
        <w:rPr>
          <w:rFonts w:ascii="仿宋_GB2312" w:eastAsia="仿宋_GB2312"/>
          <w:sz w:val="28"/>
          <w:szCs w:val="28"/>
        </w:rPr>
      </w:pPr>
    </w:p>
    <w:p w14:paraId="2592CF50" w14:textId="77777777" w:rsidR="00172E5F" w:rsidRDefault="00000000">
      <w:pPr>
        <w:tabs>
          <w:tab w:val="center" w:pos="6979"/>
        </w:tabs>
        <w:spacing w:beforeLines="50" w:before="156" w:afterLines="50" w:after="156"/>
        <w:ind w:firstLineChars="400" w:firstLine="1120"/>
        <w:sectPr w:rsidR="00172E5F">
          <w:footerReference w:type="default" r:id="rId8"/>
          <w:pgSz w:w="16838" w:h="11906" w:orient="landscape"/>
          <w:pgMar w:top="1134" w:right="1134" w:bottom="1134" w:left="1134" w:header="851" w:footer="992" w:gutter="0"/>
          <w:cols w:space="720"/>
          <w:docGrid w:type="linesAndChars" w:linePitch="312"/>
        </w:sectPr>
      </w:pPr>
      <w:r>
        <w:rPr>
          <w:rFonts w:ascii="仿宋_GB2312" w:eastAsia="仿宋_GB2312" w:hint="eastAsia"/>
          <w:sz w:val="28"/>
          <w:szCs w:val="28"/>
        </w:rPr>
        <w:t>报表详见附件。</w:t>
      </w:r>
    </w:p>
    <w:p w14:paraId="0C27E63D" w14:textId="77777777" w:rsidR="00172E5F" w:rsidRDefault="00000000">
      <w:pPr>
        <w:tabs>
          <w:tab w:val="center" w:pos="6979"/>
        </w:tabs>
        <w:spacing w:beforeLines="50" w:before="156" w:afterLines="50" w:after="156"/>
        <w:jc w:val="center"/>
        <w:rPr>
          <w:rFonts w:ascii="宋体" w:hAnsi="宋体" w:hint="eastAsia"/>
          <w:b/>
          <w:sz w:val="32"/>
          <w:szCs w:val="32"/>
        </w:rPr>
      </w:pPr>
      <w:r>
        <w:rPr>
          <w:rFonts w:ascii="宋体" w:hAnsi="宋体" w:cs="宋体" w:hint="eastAsia"/>
          <w:b/>
          <w:bCs/>
          <w:spacing w:val="40"/>
          <w:kern w:val="0"/>
          <w:sz w:val="32"/>
          <w:szCs w:val="32"/>
        </w:rPr>
        <w:lastRenderedPageBreak/>
        <w:t>第二部分</w:t>
      </w:r>
      <w:r>
        <w:rPr>
          <w:rFonts w:ascii="宋体" w:hAnsi="宋体" w:hint="eastAsia"/>
          <w:b/>
          <w:spacing w:val="40"/>
          <w:sz w:val="32"/>
          <w:szCs w:val="32"/>
        </w:rPr>
        <w:t>2023年度部门决算说明</w:t>
      </w:r>
    </w:p>
    <w:p w14:paraId="71B87225" w14:textId="77777777" w:rsidR="00172E5F" w:rsidRDefault="00000000">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一、部门基本情况</w:t>
      </w:r>
    </w:p>
    <w:p w14:paraId="4BFFFA4A" w14:textId="77777777" w:rsidR="00172E5F" w:rsidRDefault="00000000">
      <w:pPr>
        <w:tabs>
          <w:tab w:val="center" w:pos="6979"/>
        </w:tabs>
        <w:spacing w:line="580" w:lineRule="exact"/>
        <w:ind w:firstLineChars="150" w:firstLine="420"/>
        <w:rPr>
          <w:rFonts w:ascii="仿宋_GB2312" w:eastAsia="仿宋_GB2312"/>
          <w:sz w:val="28"/>
          <w:szCs w:val="28"/>
        </w:rPr>
      </w:pPr>
      <w:r>
        <w:rPr>
          <w:rFonts w:ascii="仿宋_GB2312" w:eastAsia="仿宋_GB2312" w:hint="eastAsia"/>
          <w:sz w:val="28"/>
          <w:szCs w:val="28"/>
        </w:rPr>
        <w:t>（一）机构</w:t>
      </w:r>
      <w:r>
        <w:rPr>
          <w:rFonts w:ascii="仿宋_GB2312" w:eastAsia="仿宋_GB2312"/>
          <w:sz w:val="28"/>
          <w:szCs w:val="28"/>
        </w:rPr>
        <w:t>设置、</w:t>
      </w:r>
      <w:r>
        <w:rPr>
          <w:rFonts w:ascii="仿宋_GB2312" w:eastAsia="仿宋_GB2312" w:hint="eastAsia"/>
          <w:sz w:val="28"/>
          <w:szCs w:val="28"/>
        </w:rPr>
        <w:t xml:space="preserve">职责 </w:t>
      </w:r>
    </w:p>
    <w:p w14:paraId="3631C4AC" w14:textId="77777777" w:rsidR="00172E5F" w:rsidRDefault="00000000">
      <w:pPr>
        <w:snapToGrid w:val="0"/>
        <w:spacing w:line="580" w:lineRule="exact"/>
        <w:ind w:firstLineChars="200" w:firstLine="560"/>
        <w:rPr>
          <w:sz w:val="28"/>
          <w:szCs w:val="28"/>
        </w:rPr>
      </w:pPr>
      <w:r>
        <w:rPr>
          <w:rFonts w:ascii="仿宋_GB2312" w:eastAsia="仿宋_GB2312" w:hAnsi="仿宋" w:hint="eastAsia"/>
          <w:sz w:val="28"/>
          <w:szCs w:val="28"/>
        </w:rPr>
        <w:t>北京市农村经济研究中心是1989年11月26日经市委、市政府批准设立的直属事业单位，1990年7月正式对外办公，2006年实行参公管理，2018年12月机构改革中转隶北京市农业农村局领导，为副局级全额拨款事业单位。</w:t>
      </w:r>
    </w:p>
    <w:p w14:paraId="2E52C185" w14:textId="77777777" w:rsidR="00172E5F" w:rsidRDefault="00000000">
      <w:pPr>
        <w:snapToGrid w:val="0"/>
        <w:spacing w:line="580" w:lineRule="exact"/>
        <w:ind w:firstLineChars="200" w:firstLine="560"/>
        <w:rPr>
          <w:rFonts w:ascii="仿宋_GB2312" w:eastAsia="仿宋_GB2312"/>
          <w:sz w:val="28"/>
          <w:szCs w:val="28"/>
        </w:rPr>
      </w:pPr>
      <w:r>
        <w:rPr>
          <w:rFonts w:ascii="仿宋_GB2312" w:eastAsia="仿宋_GB2312" w:hAnsi="仿宋" w:hint="eastAsia"/>
          <w:sz w:val="28"/>
          <w:szCs w:val="28"/>
        </w:rPr>
        <w:t>主要职能是：</w:t>
      </w:r>
      <w:r>
        <w:rPr>
          <w:rFonts w:ascii="仿宋_GB2312" w:eastAsia="仿宋_GB2312" w:hint="eastAsia"/>
          <w:sz w:val="28"/>
          <w:szCs w:val="28"/>
        </w:rPr>
        <w:t>为市委、市政府领导农村改革与发展进行决策研究，统一规划和组织市农口各区、局及有关单位开展农村战略研究和政策研究；承担农业资源调查、动态监测以及农业区划和规划工作；组织农村经济改革试验区和农业区划成果应用试验试点工作；开展对郊区农业与农村社会经济发展史、改革史的研究及其相关地方志、文献资料的编纂工作；开展农村改革与发展的理论研究，组织和参加市内外以及国际学术交流。</w:t>
      </w:r>
    </w:p>
    <w:p w14:paraId="37D6C649" w14:textId="5CF570E7" w:rsidR="00172E5F" w:rsidRDefault="00000000">
      <w:pPr>
        <w:pStyle w:val="a0"/>
        <w:spacing w:line="580" w:lineRule="exact"/>
        <w:ind w:firstLine="560"/>
        <w:rPr>
          <w:rFonts w:ascii="仿宋_GB2312" w:eastAsia="仿宋_GB2312"/>
          <w:sz w:val="28"/>
          <w:szCs w:val="28"/>
        </w:rPr>
      </w:pPr>
      <w:r>
        <w:rPr>
          <w:rFonts w:ascii="仿宋_GB2312" w:eastAsia="仿宋_GB2312" w:hint="eastAsia"/>
          <w:sz w:val="28"/>
          <w:szCs w:val="28"/>
        </w:rPr>
        <w:t>北京市农村经济研究中心既是一级部门预算，也是本级单位预算。北京市农村经济研究中心内设</w:t>
      </w:r>
      <w:r>
        <w:rPr>
          <w:rFonts w:ascii="仿宋_GB2312" w:eastAsia="仿宋_GB2312"/>
          <w:sz w:val="28"/>
          <w:szCs w:val="28"/>
        </w:rPr>
        <w:t>11</w:t>
      </w:r>
      <w:r>
        <w:rPr>
          <w:rFonts w:ascii="仿宋_GB2312" w:eastAsia="仿宋_GB2312" w:hint="eastAsia"/>
          <w:sz w:val="28"/>
          <w:szCs w:val="28"/>
        </w:rPr>
        <w:t>个处室</w:t>
      </w:r>
      <w:r w:rsidR="003F34D2" w:rsidRPr="003F34D2">
        <w:rPr>
          <w:rFonts w:ascii="仿宋_GB2312" w:eastAsia="仿宋_GB2312" w:hint="eastAsia"/>
          <w:sz w:val="28"/>
          <w:szCs w:val="28"/>
        </w:rPr>
        <w:t>，分别为：办公室、调研综合处、经济体制处、城乡发展处、社会处、资源区划处、史志处、金融处、产业经济处、计财处、机关党委（人事处）</w:t>
      </w:r>
      <w:r>
        <w:rPr>
          <w:rFonts w:ascii="仿宋_GB2312" w:eastAsia="仿宋_GB2312" w:hint="eastAsia"/>
          <w:sz w:val="28"/>
          <w:szCs w:val="28"/>
        </w:rPr>
        <w:t>。</w:t>
      </w:r>
    </w:p>
    <w:p w14:paraId="4581B67C" w14:textId="77777777" w:rsidR="00172E5F" w:rsidRDefault="00000000">
      <w:pPr>
        <w:numPr>
          <w:ilvl w:val="0"/>
          <w:numId w:val="1"/>
        </w:numPr>
        <w:tabs>
          <w:tab w:val="center" w:pos="6979"/>
        </w:tabs>
        <w:spacing w:line="580" w:lineRule="exact"/>
        <w:ind w:firstLineChars="150" w:firstLine="420"/>
        <w:rPr>
          <w:rFonts w:ascii="仿宋_GB2312" w:eastAsia="仿宋_GB2312"/>
          <w:sz w:val="28"/>
          <w:szCs w:val="28"/>
        </w:rPr>
      </w:pPr>
      <w:r>
        <w:rPr>
          <w:rFonts w:ascii="仿宋_GB2312" w:eastAsia="仿宋_GB2312" w:hint="eastAsia"/>
          <w:sz w:val="28"/>
          <w:szCs w:val="28"/>
        </w:rPr>
        <w:t>人员构成情况</w:t>
      </w:r>
    </w:p>
    <w:p w14:paraId="1C429654" w14:textId="77777777" w:rsidR="00172E5F" w:rsidRDefault="00000000">
      <w:pPr>
        <w:tabs>
          <w:tab w:val="center" w:pos="6979"/>
        </w:tabs>
        <w:spacing w:line="580" w:lineRule="exact"/>
        <w:ind w:firstLineChars="200" w:firstLine="560"/>
        <w:rPr>
          <w:rFonts w:ascii="仿宋_GB2312" w:eastAsia="仿宋_GB2312"/>
          <w:sz w:val="32"/>
          <w:szCs w:val="32"/>
        </w:rPr>
      </w:pPr>
      <w:r>
        <w:rPr>
          <w:rFonts w:ascii="仿宋_GB2312" w:eastAsia="仿宋_GB2312" w:hint="eastAsia"/>
          <w:sz w:val="28"/>
          <w:szCs w:val="28"/>
        </w:rPr>
        <w:t>行政编制</w:t>
      </w:r>
      <w:r>
        <w:rPr>
          <w:rFonts w:ascii="仿宋_GB2312" w:eastAsia="仿宋_GB2312"/>
          <w:sz w:val="28"/>
          <w:szCs w:val="28"/>
        </w:rPr>
        <w:t>0</w:t>
      </w:r>
      <w:r>
        <w:rPr>
          <w:rFonts w:ascii="仿宋_GB2312" w:eastAsia="仿宋_GB2312" w:hint="eastAsia"/>
          <w:sz w:val="28"/>
          <w:szCs w:val="28"/>
        </w:rPr>
        <w:t>人，实有人数</w:t>
      </w:r>
      <w:r>
        <w:rPr>
          <w:rFonts w:ascii="仿宋_GB2312" w:eastAsia="仿宋_GB2312"/>
          <w:sz w:val="28"/>
          <w:szCs w:val="28"/>
        </w:rPr>
        <w:t>0</w:t>
      </w:r>
      <w:r>
        <w:rPr>
          <w:rFonts w:ascii="仿宋_GB2312" w:eastAsia="仿宋_GB2312" w:hint="eastAsia"/>
          <w:sz w:val="28"/>
          <w:szCs w:val="28"/>
        </w:rPr>
        <w:t>人；事业编制</w:t>
      </w:r>
      <w:r>
        <w:rPr>
          <w:rFonts w:ascii="仿宋_GB2312" w:eastAsia="仿宋_GB2312"/>
          <w:sz w:val="28"/>
          <w:szCs w:val="28"/>
        </w:rPr>
        <w:t>73</w:t>
      </w:r>
      <w:r>
        <w:rPr>
          <w:rFonts w:ascii="仿宋_GB2312" w:eastAsia="仿宋_GB2312" w:hint="eastAsia"/>
          <w:sz w:val="28"/>
          <w:szCs w:val="28"/>
        </w:rPr>
        <w:t>人，实有人数</w:t>
      </w:r>
      <w:r>
        <w:rPr>
          <w:rFonts w:ascii="仿宋_GB2312" w:eastAsia="仿宋_GB2312"/>
          <w:sz w:val="28"/>
          <w:szCs w:val="28"/>
        </w:rPr>
        <w:t>69</w:t>
      </w:r>
      <w:r>
        <w:rPr>
          <w:rFonts w:ascii="仿宋_GB2312" w:eastAsia="仿宋_GB2312" w:hint="eastAsia"/>
          <w:sz w:val="28"/>
          <w:szCs w:val="28"/>
        </w:rPr>
        <w:t>人。</w:t>
      </w:r>
    </w:p>
    <w:p w14:paraId="418DE1D8" w14:textId="77777777" w:rsidR="00172E5F" w:rsidRDefault="00000000">
      <w:pPr>
        <w:tabs>
          <w:tab w:val="center" w:pos="6979"/>
        </w:tabs>
        <w:spacing w:line="580" w:lineRule="exact"/>
        <w:ind w:firstLineChars="200" w:firstLine="562"/>
        <w:rPr>
          <w:rFonts w:ascii="黑体" w:eastAsia="黑体"/>
          <w:b/>
          <w:sz w:val="28"/>
          <w:szCs w:val="28"/>
        </w:rPr>
      </w:pPr>
      <w:r>
        <w:rPr>
          <w:rFonts w:ascii="黑体" w:eastAsia="黑体" w:hint="eastAsia"/>
          <w:b/>
          <w:sz w:val="28"/>
          <w:szCs w:val="28"/>
        </w:rPr>
        <w:t>二、收入支出决算总体情况说明</w:t>
      </w:r>
    </w:p>
    <w:p w14:paraId="7B1DE053" w14:textId="77777777" w:rsidR="00172E5F" w:rsidRDefault="00000000">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2023年度收、</w:t>
      </w:r>
      <w:r>
        <w:rPr>
          <w:rFonts w:ascii="仿宋_GB2312" w:eastAsia="仿宋_GB2312"/>
          <w:sz w:val="28"/>
          <w:szCs w:val="28"/>
        </w:rPr>
        <w:t>支</w:t>
      </w:r>
      <w:r>
        <w:rPr>
          <w:rFonts w:ascii="仿宋_GB2312" w:eastAsia="仿宋_GB2312" w:hint="eastAsia"/>
          <w:sz w:val="28"/>
          <w:szCs w:val="28"/>
        </w:rPr>
        <w:t>总计</w:t>
      </w:r>
      <w:r>
        <w:rPr>
          <w:rFonts w:ascii="仿宋_GB2312" w:eastAsia="仿宋_GB2312"/>
          <w:sz w:val="28"/>
          <w:szCs w:val="28"/>
        </w:rPr>
        <w:t>5970.46</w:t>
      </w:r>
      <w:r>
        <w:rPr>
          <w:rFonts w:ascii="仿宋_GB2312" w:eastAsia="仿宋_GB2312" w:hint="eastAsia"/>
          <w:sz w:val="28"/>
          <w:szCs w:val="28"/>
        </w:rPr>
        <w:t>万元，</w:t>
      </w:r>
      <w:r>
        <w:rPr>
          <w:rFonts w:ascii="仿宋_GB2312" w:eastAsia="仿宋_GB2312"/>
          <w:sz w:val="28"/>
          <w:szCs w:val="28"/>
        </w:rPr>
        <w:t>比上年</w:t>
      </w:r>
      <w:r>
        <w:rPr>
          <w:rFonts w:ascii="仿宋_GB2312" w:eastAsia="仿宋_GB2312" w:hint="eastAsia"/>
          <w:sz w:val="28"/>
          <w:szCs w:val="28"/>
        </w:rPr>
        <w:t>4974.84万元</w:t>
      </w:r>
      <w:r>
        <w:rPr>
          <w:rFonts w:ascii="仿宋_GB2312" w:eastAsia="仿宋_GB2312"/>
          <w:sz w:val="28"/>
          <w:szCs w:val="28"/>
        </w:rPr>
        <w:t>增加</w:t>
      </w:r>
      <w:r>
        <w:rPr>
          <w:rFonts w:ascii="仿宋_GB2312" w:eastAsia="仿宋_GB2312" w:hint="eastAsia"/>
          <w:sz w:val="28"/>
          <w:szCs w:val="28"/>
        </w:rPr>
        <w:t>995.62万元，增长20.01%。</w:t>
      </w:r>
    </w:p>
    <w:p w14:paraId="4433CD95" w14:textId="77777777" w:rsidR="00172E5F" w:rsidRDefault="00000000">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lastRenderedPageBreak/>
        <w:t>（一</w:t>
      </w:r>
      <w:r>
        <w:rPr>
          <w:rFonts w:ascii="仿宋_GB2312" w:eastAsia="仿宋_GB2312"/>
          <w:sz w:val="28"/>
          <w:szCs w:val="28"/>
        </w:rPr>
        <w:t>）</w:t>
      </w:r>
      <w:r>
        <w:rPr>
          <w:rFonts w:ascii="仿宋_GB2312" w:eastAsia="仿宋_GB2312" w:hint="eastAsia"/>
          <w:sz w:val="28"/>
          <w:szCs w:val="28"/>
        </w:rPr>
        <w:t>收入决算</w:t>
      </w:r>
      <w:r>
        <w:rPr>
          <w:rFonts w:ascii="仿宋_GB2312" w:eastAsia="仿宋_GB2312"/>
          <w:sz w:val="28"/>
          <w:szCs w:val="28"/>
        </w:rPr>
        <w:t>说明</w:t>
      </w:r>
    </w:p>
    <w:p w14:paraId="1262A9AB" w14:textId="77777777" w:rsidR="00172E5F" w:rsidRDefault="00000000">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2023年度本年收入合计</w:t>
      </w:r>
      <w:r>
        <w:rPr>
          <w:rFonts w:ascii="仿宋_GB2312" w:eastAsia="仿宋_GB2312"/>
          <w:sz w:val="28"/>
          <w:szCs w:val="28"/>
        </w:rPr>
        <w:t>5358.75</w:t>
      </w:r>
      <w:r>
        <w:rPr>
          <w:rFonts w:ascii="仿宋_GB2312" w:eastAsia="仿宋_GB2312" w:hint="eastAsia"/>
          <w:sz w:val="28"/>
          <w:szCs w:val="28"/>
        </w:rPr>
        <w:t>万元，</w:t>
      </w:r>
      <w:r>
        <w:rPr>
          <w:rFonts w:ascii="仿宋_GB2312" w:eastAsia="仿宋_GB2312"/>
          <w:sz w:val="28"/>
          <w:szCs w:val="28"/>
        </w:rPr>
        <w:t>比上年</w:t>
      </w:r>
      <w:r>
        <w:rPr>
          <w:rFonts w:ascii="仿宋_GB2312" w:eastAsia="仿宋_GB2312" w:hint="eastAsia"/>
          <w:sz w:val="28"/>
          <w:szCs w:val="28"/>
        </w:rPr>
        <w:t>4955.82万元</w:t>
      </w:r>
      <w:r>
        <w:rPr>
          <w:rFonts w:ascii="仿宋_GB2312" w:eastAsia="仿宋_GB2312"/>
          <w:sz w:val="28"/>
          <w:szCs w:val="28"/>
        </w:rPr>
        <w:t>增加</w:t>
      </w:r>
      <w:r>
        <w:rPr>
          <w:rFonts w:ascii="仿宋_GB2312" w:eastAsia="仿宋_GB2312" w:hint="eastAsia"/>
          <w:sz w:val="28"/>
          <w:szCs w:val="28"/>
        </w:rPr>
        <w:t>402.93万元，增长8.13%。</w:t>
      </w:r>
    </w:p>
    <w:p w14:paraId="6E13C51B" w14:textId="77777777" w:rsidR="00172E5F" w:rsidRDefault="00000000">
      <w:pPr>
        <w:tabs>
          <w:tab w:val="center" w:pos="6979"/>
        </w:tabs>
        <w:spacing w:line="580" w:lineRule="exact"/>
        <w:ind w:firstLineChars="200" w:firstLine="560"/>
      </w:pPr>
      <w:r>
        <w:rPr>
          <w:rFonts w:ascii="仿宋_GB2312" w:eastAsia="仿宋_GB2312" w:hint="eastAsia"/>
          <w:sz w:val="28"/>
          <w:szCs w:val="28"/>
        </w:rPr>
        <w:t>1.财政拨款收入</w:t>
      </w:r>
      <w:r>
        <w:rPr>
          <w:rFonts w:ascii="仿宋_GB2312" w:eastAsia="仿宋_GB2312"/>
          <w:sz w:val="28"/>
          <w:szCs w:val="28"/>
        </w:rPr>
        <w:t>5358.75</w:t>
      </w:r>
      <w:r>
        <w:rPr>
          <w:rFonts w:ascii="仿宋_GB2312" w:eastAsia="仿宋_GB2312" w:hint="eastAsia"/>
          <w:sz w:val="28"/>
          <w:szCs w:val="28"/>
        </w:rPr>
        <w:t>万元，占收入合计的</w:t>
      </w:r>
      <w:r>
        <w:rPr>
          <w:rFonts w:ascii="仿宋_GB2312" w:eastAsia="仿宋_GB2312"/>
          <w:sz w:val="28"/>
          <w:szCs w:val="28"/>
        </w:rPr>
        <w:t>100</w:t>
      </w:r>
      <w:r>
        <w:rPr>
          <w:rFonts w:ascii="仿宋_GB2312" w:eastAsia="仿宋_GB2312" w:hint="eastAsia"/>
          <w:sz w:val="28"/>
          <w:szCs w:val="28"/>
        </w:rPr>
        <w:t>%。其中：一般公共预算财政拨款收入</w:t>
      </w:r>
      <w:r>
        <w:rPr>
          <w:rFonts w:ascii="仿宋_GB2312" w:eastAsia="仿宋_GB2312"/>
          <w:sz w:val="28"/>
          <w:szCs w:val="28"/>
        </w:rPr>
        <w:t>5358.75</w:t>
      </w:r>
      <w:r>
        <w:rPr>
          <w:rFonts w:ascii="仿宋_GB2312" w:eastAsia="仿宋_GB2312" w:hint="eastAsia"/>
          <w:sz w:val="28"/>
          <w:szCs w:val="28"/>
        </w:rPr>
        <w:t>万元，占收入合计的</w:t>
      </w:r>
      <w:r>
        <w:rPr>
          <w:rFonts w:ascii="仿宋_GB2312" w:eastAsia="仿宋_GB2312"/>
          <w:sz w:val="28"/>
          <w:szCs w:val="28"/>
        </w:rPr>
        <w:t>100</w:t>
      </w:r>
      <w:r>
        <w:rPr>
          <w:rFonts w:ascii="仿宋_GB2312" w:eastAsia="仿宋_GB2312" w:hint="eastAsia"/>
          <w:sz w:val="28"/>
          <w:szCs w:val="28"/>
        </w:rPr>
        <w:t>%；政府性基金预算财政拨款收入</w:t>
      </w:r>
      <w:r>
        <w:rPr>
          <w:rFonts w:ascii="仿宋_GB2312" w:eastAsia="仿宋_GB2312"/>
          <w:sz w:val="28"/>
          <w:szCs w:val="28"/>
        </w:rPr>
        <w:t>0</w:t>
      </w:r>
      <w:r>
        <w:rPr>
          <w:rFonts w:ascii="仿宋_GB2312" w:eastAsia="仿宋_GB2312" w:hint="eastAsia"/>
          <w:sz w:val="28"/>
          <w:szCs w:val="28"/>
        </w:rPr>
        <w:t>万元，占收入合计的</w:t>
      </w:r>
      <w:r>
        <w:rPr>
          <w:rFonts w:ascii="仿宋_GB2312" w:eastAsia="仿宋_GB2312"/>
          <w:sz w:val="28"/>
          <w:szCs w:val="28"/>
        </w:rPr>
        <w:t>0</w:t>
      </w:r>
      <w:r>
        <w:rPr>
          <w:rFonts w:ascii="仿宋_GB2312" w:eastAsia="仿宋_GB2312" w:hint="eastAsia"/>
          <w:sz w:val="28"/>
          <w:szCs w:val="28"/>
        </w:rPr>
        <w:t>%；国有资本经营预算财政拨款收入</w:t>
      </w:r>
      <w:r>
        <w:rPr>
          <w:rFonts w:ascii="仿宋_GB2312" w:eastAsia="仿宋_GB2312"/>
          <w:sz w:val="28"/>
          <w:szCs w:val="28"/>
        </w:rPr>
        <w:t>0</w:t>
      </w:r>
      <w:r>
        <w:rPr>
          <w:rFonts w:ascii="仿宋_GB2312" w:eastAsia="仿宋_GB2312" w:hint="eastAsia"/>
          <w:sz w:val="28"/>
          <w:szCs w:val="28"/>
        </w:rPr>
        <w:t>万元，占收入合计的</w:t>
      </w:r>
      <w:r>
        <w:rPr>
          <w:rFonts w:ascii="仿宋_GB2312" w:eastAsia="仿宋_GB2312"/>
          <w:sz w:val="28"/>
          <w:szCs w:val="28"/>
        </w:rPr>
        <w:t>0</w:t>
      </w:r>
      <w:r>
        <w:rPr>
          <w:rFonts w:ascii="仿宋_GB2312" w:eastAsia="仿宋_GB2312" w:hint="eastAsia"/>
          <w:sz w:val="28"/>
          <w:szCs w:val="28"/>
        </w:rPr>
        <w:t>%；</w:t>
      </w:r>
    </w:p>
    <w:p w14:paraId="077DA1A9" w14:textId="77777777" w:rsidR="00172E5F" w:rsidRDefault="00000000">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2.上级补助收入</w:t>
      </w:r>
      <w:r>
        <w:rPr>
          <w:rFonts w:ascii="仿宋_GB2312" w:eastAsia="仿宋_GB2312"/>
          <w:sz w:val="28"/>
          <w:szCs w:val="28"/>
        </w:rPr>
        <w:t>0</w:t>
      </w:r>
      <w:r>
        <w:rPr>
          <w:rFonts w:ascii="仿宋_GB2312" w:eastAsia="仿宋_GB2312" w:hint="eastAsia"/>
          <w:sz w:val="28"/>
          <w:szCs w:val="28"/>
        </w:rPr>
        <w:t>万元，占收入合计的</w:t>
      </w:r>
      <w:r>
        <w:rPr>
          <w:rFonts w:ascii="仿宋_GB2312" w:eastAsia="仿宋_GB2312"/>
          <w:sz w:val="28"/>
          <w:szCs w:val="28"/>
        </w:rPr>
        <w:t>0</w:t>
      </w:r>
      <w:r>
        <w:rPr>
          <w:rFonts w:ascii="仿宋_GB2312" w:eastAsia="仿宋_GB2312" w:hint="eastAsia"/>
          <w:sz w:val="28"/>
          <w:szCs w:val="28"/>
        </w:rPr>
        <w:t>%；</w:t>
      </w:r>
    </w:p>
    <w:p w14:paraId="79AF85D1" w14:textId="77777777" w:rsidR="00172E5F" w:rsidRDefault="00000000">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3.事业收入</w:t>
      </w:r>
      <w:r>
        <w:rPr>
          <w:rFonts w:ascii="仿宋_GB2312" w:eastAsia="仿宋_GB2312"/>
          <w:sz w:val="28"/>
          <w:szCs w:val="28"/>
        </w:rPr>
        <w:t>0</w:t>
      </w:r>
      <w:r>
        <w:rPr>
          <w:rFonts w:ascii="仿宋_GB2312" w:eastAsia="仿宋_GB2312" w:hint="eastAsia"/>
          <w:sz w:val="28"/>
          <w:szCs w:val="28"/>
        </w:rPr>
        <w:t>万元，占收入合计的</w:t>
      </w:r>
      <w:r>
        <w:rPr>
          <w:rFonts w:ascii="仿宋_GB2312" w:eastAsia="仿宋_GB2312"/>
          <w:sz w:val="28"/>
          <w:szCs w:val="28"/>
        </w:rPr>
        <w:t>0</w:t>
      </w:r>
      <w:r>
        <w:rPr>
          <w:rFonts w:ascii="仿宋_GB2312" w:eastAsia="仿宋_GB2312" w:hint="eastAsia"/>
          <w:sz w:val="28"/>
          <w:szCs w:val="28"/>
        </w:rPr>
        <w:t>%；</w:t>
      </w:r>
    </w:p>
    <w:p w14:paraId="5DAD9052" w14:textId="77777777" w:rsidR="00172E5F" w:rsidRDefault="00000000">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4.经营收入</w:t>
      </w:r>
      <w:r>
        <w:rPr>
          <w:rFonts w:ascii="仿宋_GB2312" w:eastAsia="仿宋_GB2312"/>
          <w:sz w:val="28"/>
          <w:szCs w:val="28"/>
        </w:rPr>
        <w:t>0</w:t>
      </w:r>
      <w:r>
        <w:rPr>
          <w:rFonts w:ascii="仿宋_GB2312" w:eastAsia="仿宋_GB2312" w:hint="eastAsia"/>
          <w:sz w:val="28"/>
          <w:szCs w:val="28"/>
        </w:rPr>
        <w:t>万元，占收入合计的</w:t>
      </w:r>
      <w:r>
        <w:rPr>
          <w:rFonts w:ascii="仿宋_GB2312" w:eastAsia="仿宋_GB2312"/>
          <w:sz w:val="28"/>
          <w:szCs w:val="28"/>
        </w:rPr>
        <w:t>0</w:t>
      </w:r>
      <w:r>
        <w:rPr>
          <w:rFonts w:ascii="仿宋_GB2312" w:eastAsia="仿宋_GB2312" w:hint="eastAsia"/>
          <w:sz w:val="28"/>
          <w:szCs w:val="28"/>
        </w:rPr>
        <w:t>%；</w:t>
      </w:r>
    </w:p>
    <w:p w14:paraId="66867B1E" w14:textId="77777777" w:rsidR="00172E5F" w:rsidRDefault="00000000">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5.附属单位上缴收入</w:t>
      </w:r>
      <w:r>
        <w:rPr>
          <w:rFonts w:ascii="仿宋_GB2312" w:eastAsia="仿宋_GB2312"/>
          <w:sz w:val="28"/>
          <w:szCs w:val="28"/>
        </w:rPr>
        <w:t>0</w:t>
      </w:r>
      <w:r>
        <w:rPr>
          <w:rFonts w:ascii="仿宋_GB2312" w:eastAsia="仿宋_GB2312" w:hint="eastAsia"/>
          <w:sz w:val="28"/>
          <w:szCs w:val="28"/>
        </w:rPr>
        <w:t>万元，占收入合计的</w:t>
      </w:r>
      <w:r>
        <w:rPr>
          <w:rFonts w:ascii="仿宋_GB2312" w:eastAsia="仿宋_GB2312"/>
          <w:sz w:val="28"/>
          <w:szCs w:val="28"/>
        </w:rPr>
        <w:t>0</w:t>
      </w:r>
      <w:r>
        <w:rPr>
          <w:rFonts w:ascii="仿宋_GB2312" w:eastAsia="仿宋_GB2312" w:hint="eastAsia"/>
          <w:sz w:val="28"/>
          <w:szCs w:val="28"/>
        </w:rPr>
        <w:t>%；</w:t>
      </w:r>
    </w:p>
    <w:p w14:paraId="502E2C3A" w14:textId="77777777" w:rsidR="00172E5F" w:rsidRDefault="00000000">
      <w:pPr>
        <w:tabs>
          <w:tab w:val="center" w:pos="6979"/>
        </w:tabs>
        <w:spacing w:line="580" w:lineRule="exact"/>
        <w:ind w:firstLineChars="200" w:firstLine="560"/>
        <w:rPr>
          <w:rFonts w:ascii="仿宋_GB2312" w:eastAsia="仿宋_GB2312"/>
          <w:sz w:val="28"/>
          <w:szCs w:val="28"/>
        </w:rPr>
      </w:pPr>
      <w:r>
        <w:rPr>
          <w:rFonts w:ascii="仿宋_GB2312" w:eastAsia="仿宋_GB2312" w:hint="eastAsia"/>
          <w:sz w:val="28"/>
          <w:szCs w:val="28"/>
        </w:rPr>
        <w:t>6.其他收入</w:t>
      </w:r>
      <w:r>
        <w:rPr>
          <w:rFonts w:ascii="仿宋_GB2312" w:eastAsia="仿宋_GB2312"/>
          <w:sz w:val="28"/>
          <w:szCs w:val="28"/>
        </w:rPr>
        <w:t>0</w:t>
      </w:r>
      <w:r>
        <w:rPr>
          <w:rFonts w:ascii="仿宋_GB2312" w:eastAsia="仿宋_GB2312" w:hint="eastAsia"/>
          <w:sz w:val="28"/>
          <w:szCs w:val="28"/>
        </w:rPr>
        <w:t>万元，占收入合计的</w:t>
      </w:r>
      <w:r>
        <w:rPr>
          <w:rFonts w:ascii="仿宋_GB2312" w:eastAsia="仿宋_GB2312"/>
          <w:sz w:val="28"/>
          <w:szCs w:val="28"/>
        </w:rPr>
        <w:t>0</w:t>
      </w:r>
      <w:r>
        <w:rPr>
          <w:rFonts w:ascii="仿宋_GB2312" w:eastAsia="仿宋_GB2312" w:hint="eastAsia"/>
          <w:sz w:val="28"/>
          <w:szCs w:val="28"/>
        </w:rPr>
        <w:t>%。</w:t>
      </w:r>
    </w:p>
    <w:p w14:paraId="1663905A" w14:textId="77777777" w:rsidR="00172E5F" w:rsidRDefault="00000000">
      <w:pPr>
        <w:pStyle w:val="2"/>
        <w:jc w:val="center"/>
      </w:pPr>
      <w:r>
        <w:rPr>
          <w:rFonts w:ascii="仿宋_GB2312" w:eastAsia="仿宋_GB2312" w:hint="eastAsia"/>
          <w:color w:val="000000"/>
          <w:sz w:val="32"/>
        </w:rPr>
        <w:lastRenderedPageBreak/>
        <w:t>图1：收入决算</w:t>
      </w:r>
    </w:p>
    <w:p w14:paraId="04A59A06" w14:textId="77777777" w:rsidR="00172E5F" w:rsidRDefault="00000000">
      <w:pPr>
        <w:jc w:val="center"/>
      </w:pPr>
      <w:r>
        <w:rPr>
          <w:rFonts w:hint="eastAsia"/>
          <w:noProof/>
        </w:rPr>
        <w:drawing>
          <wp:inline distT="0" distB="0" distL="114300" distR="114300" wp14:anchorId="1A695898" wp14:editId="56786F2C">
            <wp:extent cx="4408805" cy="2477770"/>
            <wp:effectExtent l="4445" t="5080" r="6350" b="12700"/>
            <wp:docPr id="2" name="图表 2" title="{{pieChar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0129D0A" w14:textId="77777777" w:rsidR="00172E5F" w:rsidRDefault="00000000">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（二</w:t>
      </w:r>
      <w:r>
        <w:rPr>
          <w:rFonts w:ascii="仿宋_GB2312" w:eastAsia="仿宋_GB2312"/>
          <w:sz w:val="28"/>
          <w:szCs w:val="28"/>
        </w:rPr>
        <w:t>）</w:t>
      </w:r>
      <w:r>
        <w:rPr>
          <w:rFonts w:ascii="仿宋_GB2312" w:eastAsia="仿宋_GB2312" w:hint="eastAsia"/>
          <w:sz w:val="28"/>
          <w:szCs w:val="28"/>
        </w:rPr>
        <w:t>支出决算</w:t>
      </w:r>
      <w:r>
        <w:rPr>
          <w:rFonts w:ascii="仿宋_GB2312" w:eastAsia="仿宋_GB2312"/>
          <w:sz w:val="28"/>
          <w:szCs w:val="28"/>
        </w:rPr>
        <w:t>说明</w:t>
      </w:r>
    </w:p>
    <w:p w14:paraId="451F5FB3" w14:textId="77777777" w:rsidR="00172E5F" w:rsidRDefault="00000000">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2023年度本年支出合计</w:t>
      </w:r>
      <w:r>
        <w:rPr>
          <w:rFonts w:ascii="仿宋_GB2312" w:eastAsia="仿宋_GB2312"/>
          <w:sz w:val="28"/>
          <w:szCs w:val="28"/>
        </w:rPr>
        <w:t>5087.55</w:t>
      </w:r>
      <w:r>
        <w:rPr>
          <w:rFonts w:ascii="仿宋_GB2312" w:eastAsia="仿宋_GB2312" w:hint="eastAsia"/>
          <w:sz w:val="28"/>
          <w:szCs w:val="28"/>
        </w:rPr>
        <w:t>万元，</w:t>
      </w:r>
      <w:r>
        <w:rPr>
          <w:rFonts w:ascii="仿宋_GB2312" w:eastAsia="仿宋_GB2312"/>
          <w:sz w:val="28"/>
          <w:szCs w:val="28"/>
        </w:rPr>
        <w:t>比上年</w:t>
      </w:r>
      <w:r>
        <w:rPr>
          <w:rFonts w:ascii="仿宋_GB2312" w:eastAsia="仿宋_GB2312" w:hint="eastAsia"/>
          <w:sz w:val="28"/>
          <w:szCs w:val="28"/>
        </w:rPr>
        <w:t>4774.76万元</w:t>
      </w:r>
      <w:r>
        <w:rPr>
          <w:rFonts w:ascii="仿宋_GB2312" w:eastAsia="仿宋_GB2312"/>
          <w:sz w:val="28"/>
          <w:szCs w:val="28"/>
        </w:rPr>
        <w:t>增加</w:t>
      </w:r>
      <w:r>
        <w:rPr>
          <w:rFonts w:ascii="仿宋_GB2312" w:eastAsia="仿宋_GB2312" w:hint="eastAsia"/>
          <w:sz w:val="28"/>
          <w:szCs w:val="28"/>
        </w:rPr>
        <w:t>312.79万元，增长6.55%，其中：基本支出</w:t>
      </w:r>
      <w:r>
        <w:rPr>
          <w:rFonts w:ascii="仿宋_GB2312" w:eastAsia="仿宋_GB2312"/>
          <w:sz w:val="28"/>
          <w:szCs w:val="28"/>
        </w:rPr>
        <w:t>3127.47</w:t>
      </w:r>
      <w:r>
        <w:rPr>
          <w:rFonts w:ascii="仿宋_GB2312" w:eastAsia="仿宋_GB2312" w:hint="eastAsia"/>
          <w:sz w:val="28"/>
          <w:szCs w:val="28"/>
        </w:rPr>
        <w:t>万元，占支出合计的</w:t>
      </w:r>
      <w:r>
        <w:rPr>
          <w:rFonts w:ascii="仿宋_GB2312" w:eastAsia="仿宋_GB2312"/>
          <w:sz w:val="28"/>
          <w:szCs w:val="28"/>
        </w:rPr>
        <w:t>61.47</w:t>
      </w:r>
      <w:r>
        <w:rPr>
          <w:rFonts w:ascii="仿宋_GB2312" w:eastAsia="仿宋_GB2312" w:hint="eastAsia"/>
          <w:sz w:val="28"/>
          <w:szCs w:val="28"/>
        </w:rPr>
        <w:t>%；项目支出</w:t>
      </w:r>
      <w:r>
        <w:rPr>
          <w:rFonts w:ascii="仿宋_GB2312" w:eastAsia="仿宋_GB2312"/>
          <w:sz w:val="28"/>
          <w:szCs w:val="28"/>
        </w:rPr>
        <w:t>1960.0</w:t>
      </w:r>
      <w:r>
        <w:rPr>
          <w:rFonts w:ascii="仿宋_GB2312" w:eastAsia="仿宋_GB2312" w:hint="eastAsia"/>
          <w:sz w:val="28"/>
          <w:szCs w:val="28"/>
        </w:rPr>
        <w:t>8万元，占支出合计的</w:t>
      </w:r>
      <w:r>
        <w:rPr>
          <w:rFonts w:ascii="仿宋_GB2312" w:eastAsia="仿宋_GB2312"/>
          <w:sz w:val="28"/>
          <w:szCs w:val="28"/>
        </w:rPr>
        <w:t>38.5</w:t>
      </w:r>
      <w:r>
        <w:rPr>
          <w:rFonts w:ascii="仿宋_GB2312" w:eastAsia="仿宋_GB2312" w:hint="eastAsia"/>
          <w:sz w:val="28"/>
          <w:szCs w:val="28"/>
        </w:rPr>
        <w:t>3%;上缴上级支出</w:t>
      </w:r>
      <w:r>
        <w:rPr>
          <w:rFonts w:ascii="仿宋_GB2312" w:eastAsia="仿宋_GB2312"/>
          <w:sz w:val="28"/>
          <w:szCs w:val="28"/>
        </w:rPr>
        <w:t>0</w:t>
      </w:r>
      <w:r>
        <w:rPr>
          <w:rFonts w:ascii="仿宋_GB2312" w:eastAsia="仿宋_GB2312" w:hint="eastAsia"/>
          <w:sz w:val="28"/>
          <w:szCs w:val="28"/>
        </w:rPr>
        <w:t>万元，占支出合计的</w:t>
      </w:r>
      <w:r>
        <w:rPr>
          <w:rFonts w:ascii="仿宋_GB2312" w:eastAsia="仿宋_GB2312"/>
          <w:sz w:val="28"/>
          <w:szCs w:val="28"/>
        </w:rPr>
        <w:t>0</w:t>
      </w:r>
      <w:r>
        <w:rPr>
          <w:rFonts w:ascii="仿宋_GB2312" w:eastAsia="仿宋_GB2312" w:hint="eastAsia"/>
          <w:sz w:val="28"/>
          <w:szCs w:val="28"/>
        </w:rPr>
        <w:t>%；经营支出</w:t>
      </w:r>
      <w:r>
        <w:rPr>
          <w:rFonts w:ascii="仿宋_GB2312" w:eastAsia="仿宋_GB2312"/>
          <w:sz w:val="28"/>
          <w:szCs w:val="28"/>
        </w:rPr>
        <w:t>0</w:t>
      </w:r>
      <w:r>
        <w:rPr>
          <w:rFonts w:ascii="仿宋_GB2312" w:eastAsia="仿宋_GB2312" w:hint="eastAsia"/>
          <w:sz w:val="28"/>
          <w:szCs w:val="28"/>
        </w:rPr>
        <w:t>万元，占支出合计的</w:t>
      </w:r>
      <w:r>
        <w:rPr>
          <w:rFonts w:ascii="仿宋_GB2312" w:eastAsia="仿宋_GB2312"/>
          <w:sz w:val="28"/>
          <w:szCs w:val="28"/>
        </w:rPr>
        <w:t>0</w:t>
      </w:r>
      <w:r>
        <w:rPr>
          <w:rFonts w:ascii="仿宋_GB2312" w:eastAsia="仿宋_GB2312" w:hint="eastAsia"/>
          <w:sz w:val="28"/>
          <w:szCs w:val="28"/>
        </w:rPr>
        <w:t>%；对附属单位补助支出</w:t>
      </w:r>
      <w:r>
        <w:rPr>
          <w:rFonts w:ascii="仿宋_GB2312" w:eastAsia="仿宋_GB2312"/>
          <w:sz w:val="28"/>
          <w:szCs w:val="28"/>
        </w:rPr>
        <w:t>0</w:t>
      </w:r>
      <w:r>
        <w:rPr>
          <w:rFonts w:ascii="仿宋_GB2312" w:eastAsia="仿宋_GB2312" w:hint="eastAsia"/>
          <w:sz w:val="28"/>
          <w:szCs w:val="28"/>
        </w:rPr>
        <w:t>万元，占支出合计的</w:t>
      </w:r>
      <w:r>
        <w:rPr>
          <w:rFonts w:ascii="仿宋_GB2312" w:eastAsia="仿宋_GB2312"/>
          <w:sz w:val="28"/>
          <w:szCs w:val="28"/>
        </w:rPr>
        <w:t>0</w:t>
      </w:r>
      <w:r>
        <w:rPr>
          <w:rFonts w:ascii="仿宋_GB2312" w:eastAsia="仿宋_GB2312" w:hint="eastAsia"/>
          <w:sz w:val="28"/>
          <w:szCs w:val="28"/>
        </w:rPr>
        <w:t>%。</w:t>
      </w:r>
    </w:p>
    <w:p w14:paraId="5FA7326A" w14:textId="77777777" w:rsidR="00172E5F" w:rsidRDefault="00000000">
      <w:pPr>
        <w:pStyle w:val="2"/>
        <w:ind w:firstLine="642"/>
        <w:jc w:val="center"/>
        <w:rPr>
          <w:rFonts w:ascii="仿宋_GB2312" w:eastAsia="仿宋_GB2312"/>
          <w:color w:val="000000"/>
          <w:sz w:val="32"/>
        </w:rPr>
      </w:pPr>
      <w:r>
        <w:rPr>
          <w:rFonts w:ascii="仿宋_GB2312" w:eastAsia="仿宋_GB2312" w:cs="Droid Sans" w:hint="eastAsia"/>
          <w:color w:val="000000"/>
          <w:sz w:val="32"/>
        </w:rPr>
        <w:lastRenderedPageBreak/>
        <w:t xml:space="preserve"> </w:t>
      </w:r>
      <w:r>
        <w:rPr>
          <w:rFonts w:ascii="仿宋_GB2312" w:eastAsia="仿宋_GB2312" w:hint="eastAsia"/>
          <w:color w:val="000000"/>
          <w:sz w:val="32"/>
        </w:rPr>
        <w:t>图2：基本支出和项目支出情况</w:t>
      </w:r>
    </w:p>
    <w:p w14:paraId="2C45E4ED" w14:textId="77777777" w:rsidR="00172E5F" w:rsidRDefault="00000000">
      <w:pPr>
        <w:jc w:val="center"/>
        <w:rPr>
          <w:rFonts w:ascii="黑体" w:eastAsia="黑体"/>
          <w:b/>
          <w:sz w:val="28"/>
          <w:szCs w:val="28"/>
        </w:rPr>
      </w:pPr>
      <w:r>
        <w:rPr>
          <w:noProof/>
        </w:rPr>
        <w:drawing>
          <wp:inline distT="0" distB="0" distL="114300" distR="114300" wp14:anchorId="654DCE6A" wp14:editId="74F493C4">
            <wp:extent cx="4572000" cy="2743200"/>
            <wp:effectExtent l="4445" t="4445" r="14605" b="14605"/>
            <wp:docPr id="1" name="图表 3" title="{{pieChart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06C1877" w14:textId="77777777" w:rsidR="00172E5F" w:rsidRDefault="00000000">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三</w:t>
      </w:r>
      <w:r>
        <w:rPr>
          <w:rFonts w:ascii="黑体" w:eastAsia="黑体"/>
          <w:b/>
          <w:sz w:val="28"/>
          <w:szCs w:val="28"/>
        </w:rPr>
        <w:t>、财政拨款</w:t>
      </w:r>
      <w:r>
        <w:rPr>
          <w:rFonts w:ascii="黑体" w:eastAsia="黑体" w:hint="eastAsia"/>
          <w:b/>
          <w:sz w:val="28"/>
          <w:szCs w:val="28"/>
        </w:rPr>
        <w:t>收入支出决算</w:t>
      </w:r>
      <w:r>
        <w:rPr>
          <w:rFonts w:ascii="黑体" w:eastAsia="黑体"/>
          <w:b/>
          <w:sz w:val="28"/>
          <w:szCs w:val="28"/>
        </w:rPr>
        <w:t>总体情况说明</w:t>
      </w:r>
    </w:p>
    <w:p w14:paraId="1DF341D5" w14:textId="77777777" w:rsidR="00172E5F" w:rsidRDefault="00000000">
      <w:pPr>
        <w:tabs>
          <w:tab w:val="center" w:pos="6979"/>
        </w:tabs>
        <w:spacing w:line="580" w:lineRule="exact"/>
        <w:ind w:firstLine="570"/>
        <w:rPr>
          <w:rFonts w:ascii="仿宋_GB2312" w:eastAsia="仿宋_GB2312"/>
          <w:sz w:val="28"/>
          <w:szCs w:val="28"/>
        </w:rPr>
      </w:pPr>
      <w:r>
        <w:rPr>
          <w:rFonts w:ascii="仿宋_GB2312" w:eastAsia="仿宋_GB2312" w:hint="eastAsia"/>
          <w:sz w:val="28"/>
          <w:szCs w:val="28"/>
        </w:rPr>
        <w:t>2023年度财政拨款收、</w:t>
      </w:r>
      <w:r>
        <w:rPr>
          <w:rFonts w:ascii="仿宋_GB2312" w:eastAsia="仿宋_GB2312"/>
          <w:sz w:val="28"/>
          <w:szCs w:val="28"/>
        </w:rPr>
        <w:t>支</w:t>
      </w:r>
      <w:r>
        <w:rPr>
          <w:rFonts w:ascii="仿宋_GB2312" w:eastAsia="仿宋_GB2312" w:hint="eastAsia"/>
          <w:sz w:val="28"/>
          <w:szCs w:val="28"/>
        </w:rPr>
        <w:t>总计</w:t>
      </w:r>
      <w:r>
        <w:rPr>
          <w:rFonts w:ascii="仿宋_GB2312" w:eastAsia="仿宋_GB2312"/>
          <w:sz w:val="28"/>
          <w:szCs w:val="28"/>
        </w:rPr>
        <w:t>5358.75</w:t>
      </w:r>
      <w:r>
        <w:rPr>
          <w:rFonts w:ascii="仿宋_GB2312" w:eastAsia="仿宋_GB2312" w:hint="eastAsia"/>
          <w:sz w:val="28"/>
          <w:szCs w:val="28"/>
        </w:rPr>
        <w:t>万元，比上年4947.82万元</w:t>
      </w:r>
      <w:r>
        <w:rPr>
          <w:rFonts w:ascii="仿宋_GB2312" w:eastAsia="仿宋_GB2312"/>
          <w:sz w:val="28"/>
          <w:szCs w:val="28"/>
        </w:rPr>
        <w:t>增加</w:t>
      </w:r>
      <w:r>
        <w:rPr>
          <w:rFonts w:ascii="仿宋_GB2312" w:eastAsia="仿宋_GB2312" w:hint="eastAsia"/>
          <w:sz w:val="28"/>
          <w:szCs w:val="28"/>
        </w:rPr>
        <w:t>410.93万元，增长8.31%。主要原因：是本年度根据工作需要追加“北京市乡村振兴专家咨询委员会专项经费”项目资金预算，使全年收入增加。</w:t>
      </w:r>
    </w:p>
    <w:p w14:paraId="18314F7D" w14:textId="77777777" w:rsidR="00172E5F" w:rsidRDefault="00000000">
      <w:pPr>
        <w:tabs>
          <w:tab w:val="center" w:pos="6979"/>
        </w:tabs>
        <w:spacing w:line="580" w:lineRule="exact"/>
        <w:ind w:firstLineChars="196" w:firstLine="551"/>
        <w:rPr>
          <w:rFonts w:ascii="黑体" w:eastAsia="黑体"/>
          <w:b/>
          <w:sz w:val="28"/>
          <w:szCs w:val="28"/>
        </w:rPr>
      </w:pPr>
      <w:r>
        <w:rPr>
          <w:rFonts w:ascii="黑体" w:eastAsia="黑体" w:hint="eastAsia"/>
          <w:b/>
          <w:sz w:val="28"/>
          <w:szCs w:val="28"/>
        </w:rPr>
        <w:t>四、一般公共预算财政拨款支出决算情况说明</w:t>
      </w:r>
    </w:p>
    <w:p w14:paraId="36C33059" w14:textId="77777777" w:rsidR="00172E5F" w:rsidRDefault="00000000">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（一）一般公共预算财政拨款支出决算总体情况</w:t>
      </w:r>
    </w:p>
    <w:p w14:paraId="79229A2C" w14:textId="77777777" w:rsidR="00172E5F" w:rsidRDefault="00000000">
      <w:pPr>
        <w:spacing w:line="580" w:lineRule="exact"/>
        <w:ind w:firstLineChars="200" w:firstLine="560"/>
        <w:rPr>
          <w:rFonts w:ascii="仿宋_GB2312" w:eastAsia="仿宋_GB2312"/>
          <w:sz w:val="28"/>
          <w:szCs w:val="28"/>
        </w:rPr>
      </w:pPr>
      <w:r>
        <w:rPr>
          <w:rFonts w:ascii="仿宋_GB2312" w:eastAsia="仿宋_GB2312" w:hint="eastAsia"/>
          <w:sz w:val="28"/>
          <w:szCs w:val="28"/>
        </w:rPr>
        <w:t>2023年度一般公共预算财政拨款支出</w:t>
      </w:r>
      <w:r>
        <w:rPr>
          <w:rFonts w:ascii="仿宋_GB2312" w:eastAsia="仿宋_GB2312"/>
          <w:sz w:val="28"/>
          <w:szCs w:val="28"/>
        </w:rPr>
        <w:t>5084.24</w:t>
      </w:r>
      <w:r>
        <w:rPr>
          <w:rFonts w:ascii="仿宋_GB2312" w:eastAsia="仿宋_GB2312" w:hint="eastAsia"/>
          <w:sz w:val="28"/>
          <w:szCs w:val="28"/>
        </w:rPr>
        <w:t>万元，主要用于以下方面（按大类）：社会保障和就业支出</w:t>
      </w:r>
      <w:r>
        <w:rPr>
          <w:rFonts w:ascii="仿宋_GB2312" w:eastAsia="仿宋_GB2312"/>
          <w:sz w:val="28"/>
          <w:szCs w:val="28"/>
          <w:lang w:val="en"/>
        </w:rPr>
        <w:t>59.23</w:t>
      </w:r>
      <w:r>
        <w:rPr>
          <w:rFonts w:ascii="仿宋_GB2312" w:eastAsia="仿宋_GB2312" w:hint="eastAsia"/>
          <w:sz w:val="28"/>
          <w:szCs w:val="28"/>
        </w:rPr>
        <w:t>万元，占本年财政拨款支出</w:t>
      </w:r>
      <w:r>
        <w:rPr>
          <w:rFonts w:ascii="仿宋_GB2312" w:eastAsia="仿宋_GB2312"/>
          <w:sz w:val="28"/>
          <w:szCs w:val="28"/>
          <w:lang w:val="en"/>
        </w:rPr>
        <w:t>1.16</w:t>
      </w:r>
      <w:r>
        <w:rPr>
          <w:rFonts w:ascii="仿宋_GB2312" w:eastAsia="仿宋_GB2312" w:hint="eastAsia"/>
          <w:sz w:val="28"/>
          <w:szCs w:val="28"/>
        </w:rPr>
        <w:t>%；农林水支出</w:t>
      </w:r>
      <w:r>
        <w:rPr>
          <w:rFonts w:ascii="仿宋_GB2312" w:eastAsia="仿宋_GB2312"/>
          <w:sz w:val="28"/>
          <w:szCs w:val="28"/>
          <w:lang w:val="en"/>
        </w:rPr>
        <w:t>5025.01</w:t>
      </w:r>
      <w:r>
        <w:rPr>
          <w:rFonts w:ascii="仿宋_GB2312" w:eastAsia="仿宋_GB2312" w:hint="eastAsia"/>
          <w:sz w:val="28"/>
          <w:szCs w:val="28"/>
        </w:rPr>
        <w:t>万元，占本年财政拨款支出</w:t>
      </w:r>
      <w:r>
        <w:rPr>
          <w:rFonts w:ascii="仿宋_GB2312" w:eastAsia="仿宋_GB2312"/>
          <w:sz w:val="28"/>
          <w:szCs w:val="28"/>
          <w:lang w:val="en"/>
        </w:rPr>
        <w:t>98.84</w:t>
      </w:r>
      <w:r>
        <w:rPr>
          <w:rFonts w:ascii="仿宋_GB2312" w:eastAsia="仿宋_GB2312" w:hint="eastAsia"/>
          <w:sz w:val="28"/>
          <w:szCs w:val="28"/>
        </w:rPr>
        <w:t>%。</w:t>
      </w:r>
    </w:p>
    <w:p w14:paraId="3F819401" w14:textId="77777777" w:rsidR="00172E5F" w:rsidRDefault="00000000">
      <w:pPr>
        <w:autoSpaceDE w:val="0"/>
        <w:autoSpaceDN w:val="0"/>
        <w:adjustRightInd w:val="0"/>
        <w:spacing w:line="580" w:lineRule="exact"/>
        <w:ind w:leftChars="150" w:left="315" w:firstLineChars="100" w:firstLine="280"/>
        <w:jc w:val="left"/>
        <w:rPr>
          <w:rFonts w:ascii="仿宋_GB2312" w:eastAsia="仿宋_GB2312"/>
          <w:sz w:val="28"/>
          <w:szCs w:val="28"/>
        </w:rPr>
      </w:pPr>
      <w:r>
        <w:rPr>
          <w:rFonts w:ascii="仿宋_GB2312" w:eastAsia="仿宋_GB2312" w:hint="eastAsia"/>
          <w:sz w:val="28"/>
          <w:szCs w:val="28"/>
        </w:rPr>
        <w:lastRenderedPageBreak/>
        <w:t>（二）一般公共预算财政拨款支出决算具体情况</w:t>
      </w:r>
    </w:p>
    <w:p w14:paraId="6917B451" w14:textId="77777777" w:rsidR="00172E5F" w:rsidRDefault="00000000">
      <w:pPr>
        <w:spacing w:line="580" w:lineRule="exact"/>
        <w:ind w:firstLineChars="200" w:firstLine="560"/>
        <w:rPr>
          <w:rFonts w:ascii="仿宋_GB2312" w:eastAsia="仿宋_GB2312"/>
          <w:sz w:val="28"/>
          <w:szCs w:val="28"/>
        </w:rPr>
      </w:pPr>
      <w:r>
        <w:rPr>
          <w:rFonts w:ascii="仿宋_GB2312" w:eastAsia="仿宋_GB2312"/>
          <w:sz w:val="28"/>
          <w:szCs w:val="28"/>
          <w:lang w:val="en"/>
        </w:rPr>
        <w:t>1</w:t>
      </w:r>
      <w:r>
        <w:rPr>
          <w:rFonts w:ascii="仿宋_GB2312" w:eastAsia="仿宋_GB2312" w:hint="eastAsia"/>
          <w:sz w:val="28"/>
          <w:szCs w:val="28"/>
        </w:rPr>
        <w:t>、“社会保障和就业支出”（类）202</w:t>
      </w:r>
      <w:r>
        <w:rPr>
          <w:rFonts w:ascii="仿宋_GB2312" w:eastAsia="仿宋_GB2312"/>
          <w:sz w:val="28"/>
          <w:szCs w:val="28"/>
          <w:lang w:val="en"/>
        </w:rPr>
        <w:t>3</w:t>
      </w:r>
      <w:r>
        <w:rPr>
          <w:rFonts w:ascii="仿宋_GB2312" w:eastAsia="仿宋_GB2312" w:hint="eastAsia"/>
          <w:sz w:val="28"/>
          <w:szCs w:val="28"/>
        </w:rPr>
        <w:t>年度决算</w:t>
      </w:r>
      <w:r>
        <w:rPr>
          <w:rFonts w:ascii="仿宋_GB2312" w:eastAsia="仿宋_GB2312"/>
          <w:sz w:val="28"/>
          <w:szCs w:val="28"/>
          <w:lang w:val="en"/>
        </w:rPr>
        <w:t>59.23</w:t>
      </w:r>
      <w:r>
        <w:rPr>
          <w:rFonts w:ascii="仿宋_GB2312" w:eastAsia="仿宋_GB2312" w:hint="eastAsia"/>
          <w:sz w:val="28"/>
          <w:szCs w:val="28"/>
        </w:rPr>
        <w:t>万元，与202</w:t>
      </w:r>
      <w:r>
        <w:rPr>
          <w:rFonts w:ascii="仿宋_GB2312" w:eastAsia="仿宋_GB2312"/>
          <w:sz w:val="28"/>
          <w:szCs w:val="28"/>
          <w:lang w:val="en"/>
        </w:rPr>
        <w:t>3</w:t>
      </w:r>
      <w:r>
        <w:rPr>
          <w:rFonts w:ascii="仿宋_GB2312" w:eastAsia="仿宋_GB2312" w:hint="eastAsia"/>
          <w:sz w:val="28"/>
          <w:szCs w:val="28"/>
        </w:rPr>
        <w:t>年度年初预算</w:t>
      </w:r>
      <w:r>
        <w:rPr>
          <w:rFonts w:ascii="仿宋_GB2312" w:eastAsia="仿宋_GB2312"/>
          <w:sz w:val="28"/>
          <w:szCs w:val="28"/>
          <w:lang w:val="en"/>
        </w:rPr>
        <w:t>59.23</w:t>
      </w:r>
      <w:r>
        <w:rPr>
          <w:rFonts w:ascii="仿宋_GB2312" w:eastAsia="仿宋_GB2312" w:hint="eastAsia"/>
          <w:sz w:val="28"/>
          <w:szCs w:val="28"/>
        </w:rPr>
        <w:t>万元持平。其中：</w:t>
      </w:r>
    </w:p>
    <w:p w14:paraId="4D6D6BFB" w14:textId="77777777" w:rsidR="00172E5F" w:rsidRDefault="00000000">
      <w:pPr>
        <w:spacing w:line="580" w:lineRule="exact"/>
        <w:ind w:firstLineChars="200" w:firstLine="560"/>
        <w:rPr>
          <w:rFonts w:ascii="仿宋_GB2312" w:eastAsia="仿宋_GB2312"/>
          <w:sz w:val="28"/>
          <w:szCs w:val="28"/>
        </w:rPr>
      </w:pPr>
      <w:r>
        <w:rPr>
          <w:rFonts w:ascii="仿宋_GB2312" w:eastAsia="仿宋_GB2312" w:hint="eastAsia"/>
          <w:sz w:val="28"/>
          <w:szCs w:val="28"/>
        </w:rPr>
        <w:t>“行政事业单位养老</w:t>
      </w:r>
      <w:r>
        <w:rPr>
          <w:rFonts w:ascii="仿宋_GB2312" w:eastAsia="仿宋_GB2312"/>
          <w:sz w:val="28"/>
          <w:szCs w:val="28"/>
        </w:rPr>
        <w:t>支出</w:t>
      </w:r>
      <w:r>
        <w:rPr>
          <w:rFonts w:ascii="仿宋_GB2312" w:eastAsia="仿宋_GB2312" w:hint="eastAsia"/>
          <w:sz w:val="28"/>
          <w:szCs w:val="28"/>
        </w:rPr>
        <w:t>”（款）202</w:t>
      </w:r>
      <w:r>
        <w:rPr>
          <w:rFonts w:ascii="仿宋_GB2312" w:eastAsia="仿宋_GB2312"/>
          <w:sz w:val="28"/>
          <w:szCs w:val="28"/>
          <w:lang w:val="en"/>
        </w:rPr>
        <w:t>3</w:t>
      </w:r>
      <w:r>
        <w:rPr>
          <w:rFonts w:ascii="仿宋_GB2312" w:eastAsia="仿宋_GB2312" w:hint="eastAsia"/>
          <w:sz w:val="28"/>
          <w:szCs w:val="28"/>
        </w:rPr>
        <w:t>年度决算</w:t>
      </w:r>
      <w:r>
        <w:rPr>
          <w:rFonts w:ascii="仿宋_GB2312" w:eastAsia="仿宋_GB2312"/>
          <w:sz w:val="28"/>
          <w:szCs w:val="28"/>
          <w:lang w:val="en"/>
        </w:rPr>
        <w:t>59.23</w:t>
      </w:r>
      <w:r>
        <w:rPr>
          <w:rFonts w:ascii="仿宋_GB2312" w:eastAsia="仿宋_GB2312" w:hint="eastAsia"/>
          <w:sz w:val="28"/>
          <w:szCs w:val="28"/>
        </w:rPr>
        <w:t>万元，与202</w:t>
      </w:r>
      <w:r>
        <w:rPr>
          <w:rFonts w:ascii="仿宋_GB2312" w:eastAsia="仿宋_GB2312"/>
          <w:sz w:val="28"/>
          <w:szCs w:val="28"/>
          <w:lang w:val="en"/>
        </w:rPr>
        <w:t>3</w:t>
      </w:r>
      <w:r>
        <w:rPr>
          <w:rFonts w:ascii="仿宋_GB2312" w:eastAsia="仿宋_GB2312" w:hint="eastAsia"/>
          <w:sz w:val="28"/>
          <w:szCs w:val="28"/>
        </w:rPr>
        <w:t>年度年初预算</w:t>
      </w:r>
      <w:r>
        <w:rPr>
          <w:rFonts w:ascii="仿宋_GB2312" w:eastAsia="仿宋_GB2312"/>
          <w:sz w:val="28"/>
          <w:szCs w:val="28"/>
          <w:lang w:val="en"/>
        </w:rPr>
        <w:t>59.23</w:t>
      </w:r>
      <w:r>
        <w:rPr>
          <w:rFonts w:ascii="仿宋_GB2312" w:eastAsia="仿宋_GB2312" w:hint="eastAsia"/>
          <w:sz w:val="28"/>
          <w:szCs w:val="28"/>
        </w:rPr>
        <w:t>万元持平。</w:t>
      </w:r>
    </w:p>
    <w:p w14:paraId="79D44CE1" w14:textId="77777777" w:rsidR="00172E5F" w:rsidRDefault="00000000">
      <w:pPr>
        <w:spacing w:line="580" w:lineRule="exact"/>
        <w:ind w:firstLineChars="200" w:firstLine="560"/>
        <w:rPr>
          <w:rFonts w:ascii="仿宋_GB2312" w:eastAsia="仿宋_GB2312"/>
          <w:sz w:val="28"/>
          <w:szCs w:val="28"/>
        </w:rPr>
      </w:pPr>
      <w:r>
        <w:rPr>
          <w:rFonts w:ascii="仿宋_GB2312" w:eastAsia="仿宋_GB2312"/>
          <w:sz w:val="28"/>
          <w:szCs w:val="28"/>
          <w:lang w:val="en"/>
        </w:rPr>
        <w:t>2</w:t>
      </w:r>
      <w:r>
        <w:rPr>
          <w:rFonts w:ascii="仿宋_GB2312" w:eastAsia="仿宋_GB2312" w:hint="eastAsia"/>
          <w:sz w:val="28"/>
          <w:szCs w:val="28"/>
        </w:rPr>
        <w:t>、“农林水支出”（类）202</w:t>
      </w:r>
      <w:r>
        <w:rPr>
          <w:rFonts w:ascii="仿宋_GB2312" w:eastAsia="仿宋_GB2312"/>
          <w:sz w:val="28"/>
          <w:szCs w:val="28"/>
          <w:lang w:val="en"/>
        </w:rPr>
        <w:t>3</w:t>
      </w:r>
      <w:r>
        <w:rPr>
          <w:rFonts w:ascii="仿宋_GB2312" w:eastAsia="仿宋_GB2312" w:hint="eastAsia"/>
          <w:sz w:val="28"/>
          <w:szCs w:val="28"/>
        </w:rPr>
        <w:t>年度决算</w:t>
      </w:r>
      <w:r>
        <w:rPr>
          <w:rFonts w:ascii="仿宋_GB2312" w:eastAsia="仿宋_GB2312"/>
          <w:sz w:val="28"/>
          <w:szCs w:val="28"/>
          <w:lang w:val="en"/>
        </w:rPr>
        <w:t>5025.01</w:t>
      </w:r>
      <w:r>
        <w:rPr>
          <w:rFonts w:ascii="仿宋_GB2312" w:eastAsia="仿宋_GB2312" w:hint="eastAsia"/>
          <w:sz w:val="28"/>
          <w:szCs w:val="28"/>
        </w:rPr>
        <w:t>万元， 比202</w:t>
      </w:r>
      <w:r>
        <w:rPr>
          <w:rFonts w:ascii="仿宋_GB2312" w:eastAsia="仿宋_GB2312"/>
          <w:sz w:val="28"/>
          <w:szCs w:val="28"/>
          <w:lang w:val="en"/>
        </w:rPr>
        <w:t>3</w:t>
      </w:r>
      <w:r>
        <w:rPr>
          <w:rFonts w:ascii="仿宋_GB2312" w:eastAsia="仿宋_GB2312" w:hint="eastAsia"/>
          <w:sz w:val="28"/>
          <w:szCs w:val="28"/>
        </w:rPr>
        <w:t>年度年初预算</w:t>
      </w:r>
      <w:r>
        <w:rPr>
          <w:rFonts w:ascii="仿宋_GB2312" w:eastAsia="仿宋_GB2312"/>
          <w:sz w:val="28"/>
          <w:szCs w:val="28"/>
          <w:lang w:val="en"/>
        </w:rPr>
        <w:t>5299.52</w:t>
      </w:r>
      <w:r>
        <w:rPr>
          <w:rFonts w:ascii="仿宋_GB2312" w:eastAsia="仿宋_GB2312" w:hint="eastAsia"/>
          <w:sz w:val="28"/>
          <w:szCs w:val="28"/>
        </w:rPr>
        <w:t>万元减少</w:t>
      </w:r>
      <w:r>
        <w:rPr>
          <w:rFonts w:ascii="仿宋_GB2312" w:eastAsia="仿宋_GB2312"/>
          <w:sz w:val="28"/>
          <w:szCs w:val="28"/>
          <w:lang w:val="en"/>
        </w:rPr>
        <w:t>274.51</w:t>
      </w:r>
      <w:r>
        <w:rPr>
          <w:rFonts w:ascii="仿宋_GB2312" w:eastAsia="仿宋_GB2312" w:hint="eastAsia"/>
          <w:sz w:val="28"/>
          <w:szCs w:val="28"/>
        </w:rPr>
        <w:t>万元，下降</w:t>
      </w:r>
      <w:r>
        <w:rPr>
          <w:rFonts w:ascii="仿宋_GB2312" w:eastAsia="仿宋_GB2312"/>
          <w:sz w:val="28"/>
          <w:szCs w:val="28"/>
          <w:lang w:val="en"/>
        </w:rPr>
        <w:t>5.18</w:t>
      </w:r>
      <w:r>
        <w:rPr>
          <w:rFonts w:ascii="仿宋_GB2312" w:eastAsia="仿宋_GB2312" w:hint="eastAsia"/>
          <w:sz w:val="28"/>
          <w:szCs w:val="28"/>
        </w:rPr>
        <w:t>%。其中：</w:t>
      </w:r>
    </w:p>
    <w:p w14:paraId="609645A1" w14:textId="77777777" w:rsidR="00172E5F" w:rsidRDefault="00000000">
      <w:pPr>
        <w:spacing w:line="580" w:lineRule="exact"/>
        <w:ind w:firstLineChars="200" w:firstLine="560"/>
      </w:pPr>
      <w:r>
        <w:rPr>
          <w:rFonts w:ascii="仿宋_GB2312" w:eastAsia="仿宋_GB2312" w:hint="eastAsia"/>
          <w:sz w:val="28"/>
          <w:szCs w:val="28"/>
        </w:rPr>
        <w:t>“农业农村”（款）202</w:t>
      </w:r>
      <w:r>
        <w:rPr>
          <w:rFonts w:ascii="仿宋_GB2312" w:eastAsia="仿宋_GB2312"/>
          <w:sz w:val="28"/>
          <w:szCs w:val="28"/>
          <w:lang w:val="en"/>
        </w:rPr>
        <w:t>3</w:t>
      </w:r>
      <w:r>
        <w:rPr>
          <w:rFonts w:ascii="仿宋_GB2312" w:eastAsia="仿宋_GB2312" w:hint="eastAsia"/>
          <w:sz w:val="28"/>
          <w:szCs w:val="28"/>
        </w:rPr>
        <w:t>年度决算</w:t>
      </w:r>
      <w:r>
        <w:rPr>
          <w:rFonts w:ascii="仿宋_GB2312" w:eastAsia="仿宋_GB2312"/>
          <w:sz w:val="28"/>
          <w:szCs w:val="28"/>
          <w:lang w:val="en"/>
        </w:rPr>
        <w:t>5025.01</w:t>
      </w:r>
      <w:r>
        <w:rPr>
          <w:rFonts w:ascii="仿宋_GB2312" w:eastAsia="仿宋_GB2312" w:hint="eastAsia"/>
          <w:sz w:val="28"/>
          <w:szCs w:val="28"/>
        </w:rPr>
        <w:t>万元， 比202</w:t>
      </w:r>
      <w:r>
        <w:rPr>
          <w:rFonts w:ascii="仿宋_GB2312" w:eastAsia="仿宋_GB2312"/>
          <w:sz w:val="28"/>
          <w:szCs w:val="28"/>
          <w:lang w:val="en"/>
        </w:rPr>
        <w:t>3</w:t>
      </w:r>
      <w:r>
        <w:rPr>
          <w:rFonts w:ascii="仿宋_GB2312" w:eastAsia="仿宋_GB2312" w:hint="eastAsia"/>
          <w:sz w:val="28"/>
          <w:szCs w:val="28"/>
        </w:rPr>
        <w:t>年度年初预算</w:t>
      </w:r>
      <w:r>
        <w:rPr>
          <w:rFonts w:ascii="仿宋_GB2312" w:eastAsia="仿宋_GB2312"/>
          <w:sz w:val="28"/>
          <w:szCs w:val="28"/>
          <w:lang w:val="en"/>
        </w:rPr>
        <w:t>5299.52</w:t>
      </w:r>
      <w:r>
        <w:rPr>
          <w:rFonts w:ascii="仿宋_GB2312" w:eastAsia="仿宋_GB2312" w:hint="eastAsia"/>
          <w:sz w:val="28"/>
          <w:szCs w:val="28"/>
        </w:rPr>
        <w:t>万元减少</w:t>
      </w:r>
      <w:r>
        <w:rPr>
          <w:rFonts w:ascii="仿宋_GB2312" w:eastAsia="仿宋_GB2312"/>
          <w:sz w:val="28"/>
          <w:szCs w:val="28"/>
          <w:lang w:val="en"/>
        </w:rPr>
        <w:t>274.51</w:t>
      </w:r>
      <w:r>
        <w:rPr>
          <w:rFonts w:ascii="仿宋_GB2312" w:eastAsia="仿宋_GB2312" w:hint="eastAsia"/>
          <w:sz w:val="28"/>
          <w:szCs w:val="28"/>
        </w:rPr>
        <w:t>万元，下降</w:t>
      </w:r>
      <w:r>
        <w:rPr>
          <w:rFonts w:ascii="仿宋_GB2312" w:eastAsia="仿宋_GB2312"/>
          <w:sz w:val="28"/>
          <w:szCs w:val="28"/>
          <w:lang w:val="en"/>
        </w:rPr>
        <w:t>5.18</w:t>
      </w:r>
      <w:r>
        <w:rPr>
          <w:rFonts w:ascii="仿宋_GB2312" w:eastAsia="仿宋_GB2312" w:hint="eastAsia"/>
          <w:sz w:val="28"/>
          <w:szCs w:val="28"/>
        </w:rPr>
        <w:t>%。主要原因：</w:t>
      </w:r>
      <w:r>
        <w:rPr>
          <w:rFonts w:ascii="仿宋_GB2312" w:eastAsia="仿宋_GB2312"/>
          <w:sz w:val="28"/>
          <w:szCs w:val="28"/>
          <w:lang w:val="en"/>
        </w:rPr>
        <w:t>2023</w:t>
      </w:r>
      <w:r>
        <w:rPr>
          <w:rFonts w:ascii="仿宋_GB2312" w:eastAsia="仿宋_GB2312" w:hint="eastAsia"/>
          <w:sz w:val="28"/>
          <w:szCs w:val="28"/>
          <w:lang w:val="en"/>
        </w:rPr>
        <w:t>年有</w:t>
      </w:r>
      <w:r>
        <w:rPr>
          <w:rFonts w:ascii="仿宋_GB2312" w:eastAsia="仿宋_GB2312" w:hint="eastAsia"/>
          <w:sz w:val="28"/>
          <w:szCs w:val="28"/>
        </w:rPr>
        <w:t>5人退休，统发人员工资经费有所结余及节约用水用电基本经费结余。另一方面，2023年</w:t>
      </w:r>
      <w:r>
        <w:rPr>
          <w:rFonts w:ascii="仿宋_GB2312" w:eastAsia="仿宋_GB2312"/>
          <w:sz w:val="28"/>
          <w:szCs w:val="28"/>
        </w:rPr>
        <w:t>取消了</w:t>
      </w:r>
      <w:r>
        <w:rPr>
          <w:rFonts w:ascii="仿宋_GB2312" w:eastAsia="仿宋_GB2312" w:hint="eastAsia"/>
          <w:sz w:val="28"/>
          <w:szCs w:val="28"/>
        </w:rPr>
        <w:t>出访台湾开展京台论坛任务</w:t>
      </w:r>
      <w:r>
        <w:rPr>
          <w:rFonts w:ascii="仿宋_GB2312" w:eastAsia="仿宋_GB2312"/>
          <w:sz w:val="28"/>
          <w:szCs w:val="28"/>
        </w:rPr>
        <w:t>，</w:t>
      </w:r>
      <w:r>
        <w:rPr>
          <w:rFonts w:ascii="仿宋_GB2312" w:eastAsia="仿宋_GB2312" w:hint="eastAsia"/>
          <w:sz w:val="28"/>
          <w:szCs w:val="28"/>
        </w:rPr>
        <w:t>同时减少专家咨询</w:t>
      </w:r>
      <w:r>
        <w:rPr>
          <w:rFonts w:ascii="仿宋_GB2312" w:eastAsia="仿宋_GB2312"/>
          <w:sz w:val="28"/>
          <w:szCs w:val="28"/>
        </w:rPr>
        <w:t>等</w:t>
      </w:r>
      <w:r>
        <w:rPr>
          <w:rFonts w:ascii="仿宋_GB2312" w:eastAsia="仿宋_GB2312" w:hint="eastAsia"/>
          <w:sz w:val="32"/>
          <w:szCs w:val="32"/>
        </w:rPr>
        <w:t>。</w:t>
      </w:r>
    </w:p>
    <w:p w14:paraId="7FFA0EEC" w14:textId="77777777" w:rsidR="00172E5F" w:rsidRDefault="00000000">
      <w:pPr>
        <w:spacing w:line="580" w:lineRule="exact"/>
        <w:ind w:firstLineChars="200" w:firstLine="562"/>
        <w:rPr>
          <w:rFonts w:ascii="仿宋_GB2312" w:eastAsia="仿宋_GB2312"/>
          <w:sz w:val="28"/>
          <w:szCs w:val="28"/>
        </w:rPr>
      </w:pPr>
      <w:r>
        <w:rPr>
          <w:rFonts w:ascii="黑体" w:eastAsia="黑体" w:hint="eastAsia"/>
          <w:b/>
          <w:sz w:val="28"/>
          <w:szCs w:val="28"/>
        </w:rPr>
        <w:t>五、政府性基金预算财政拨款支出决算情况说明</w:t>
      </w:r>
    </w:p>
    <w:p w14:paraId="371B60FB" w14:textId="77777777" w:rsidR="00172E5F" w:rsidRDefault="00000000">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（一）政府性基金预算财政拨款支出决算总体情况</w:t>
      </w:r>
    </w:p>
    <w:p w14:paraId="306450BB" w14:textId="77777777" w:rsidR="00172E5F" w:rsidRDefault="00000000">
      <w:pPr>
        <w:tabs>
          <w:tab w:val="center" w:pos="6979"/>
        </w:tabs>
        <w:spacing w:line="580" w:lineRule="exact"/>
        <w:ind w:firstLineChars="396" w:firstLine="1109"/>
        <w:rPr>
          <w:rFonts w:ascii="仿宋_GB2312" w:eastAsia="仿宋_GB2312"/>
          <w:sz w:val="28"/>
          <w:szCs w:val="28"/>
        </w:rPr>
      </w:pPr>
      <w:r>
        <w:rPr>
          <w:rFonts w:ascii="仿宋_GB2312" w:eastAsia="仿宋_GB2312" w:hint="eastAsia"/>
          <w:sz w:val="28"/>
          <w:szCs w:val="28"/>
        </w:rPr>
        <w:t>本年度无此项支出</w:t>
      </w:r>
    </w:p>
    <w:p w14:paraId="1379DDB8" w14:textId="77777777" w:rsidR="00172E5F" w:rsidRDefault="00000000">
      <w:pPr>
        <w:autoSpaceDE w:val="0"/>
        <w:autoSpaceDN w:val="0"/>
        <w:adjustRightInd w:val="0"/>
        <w:spacing w:line="580" w:lineRule="exact"/>
        <w:ind w:firstLineChars="200" w:firstLine="560"/>
        <w:jc w:val="left"/>
        <w:rPr>
          <w:rFonts w:ascii="仿宋_GB2312" w:eastAsia="仿宋_GB2312"/>
          <w:sz w:val="28"/>
          <w:szCs w:val="28"/>
        </w:rPr>
      </w:pPr>
      <w:r>
        <w:rPr>
          <w:rFonts w:ascii="仿宋_GB2312" w:eastAsia="仿宋_GB2312" w:hint="eastAsia"/>
          <w:sz w:val="28"/>
          <w:szCs w:val="28"/>
        </w:rPr>
        <w:t>（二）政府性基金预算财政拨款支出决算具体情况</w:t>
      </w:r>
    </w:p>
    <w:p w14:paraId="453B8FC5" w14:textId="77777777" w:rsidR="00172E5F" w:rsidRDefault="00000000">
      <w:pPr>
        <w:tabs>
          <w:tab w:val="center" w:pos="6979"/>
        </w:tabs>
        <w:spacing w:line="580" w:lineRule="exact"/>
        <w:ind w:firstLineChars="396" w:firstLine="1109"/>
        <w:rPr>
          <w:rFonts w:ascii="仿宋_GB2312" w:eastAsia="仿宋_GB2312"/>
          <w:sz w:val="28"/>
          <w:szCs w:val="28"/>
        </w:rPr>
      </w:pPr>
      <w:r>
        <w:rPr>
          <w:rFonts w:ascii="仿宋_GB2312" w:eastAsia="仿宋_GB2312" w:hint="eastAsia"/>
          <w:sz w:val="28"/>
          <w:szCs w:val="28"/>
        </w:rPr>
        <w:t>本年度无此项支出</w:t>
      </w:r>
    </w:p>
    <w:p w14:paraId="19074DB0" w14:textId="77777777" w:rsidR="00172E5F" w:rsidRDefault="00000000">
      <w:pPr>
        <w:spacing w:line="580" w:lineRule="exact"/>
        <w:ind w:firstLineChars="200" w:firstLine="562"/>
        <w:rPr>
          <w:rFonts w:ascii="黑体" w:eastAsia="黑体"/>
          <w:b/>
          <w:sz w:val="28"/>
          <w:szCs w:val="28"/>
        </w:rPr>
      </w:pPr>
      <w:r>
        <w:rPr>
          <w:rFonts w:ascii="黑体" w:eastAsia="黑体" w:hint="eastAsia"/>
          <w:b/>
          <w:sz w:val="28"/>
          <w:szCs w:val="28"/>
        </w:rPr>
        <w:t>六、国有资本经营预算财</w:t>
      </w:r>
      <w:r>
        <w:rPr>
          <w:rFonts w:ascii="黑体" w:eastAsia="黑体"/>
          <w:b/>
          <w:sz w:val="28"/>
          <w:szCs w:val="28"/>
        </w:rPr>
        <w:t>政拨款</w:t>
      </w:r>
      <w:r>
        <w:rPr>
          <w:rFonts w:ascii="黑体" w:eastAsia="黑体" w:hint="eastAsia"/>
          <w:b/>
          <w:sz w:val="28"/>
          <w:szCs w:val="28"/>
        </w:rPr>
        <w:t>收支情况</w:t>
      </w:r>
    </w:p>
    <w:p w14:paraId="483C199A" w14:textId="77777777" w:rsidR="00172E5F" w:rsidRDefault="00000000">
      <w:pPr>
        <w:tabs>
          <w:tab w:val="center" w:pos="6979"/>
        </w:tabs>
        <w:spacing w:line="580" w:lineRule="exact"/>
        <w:ind w:firstLineChars="396" w:firstLine="1109"/>
        <w:rPr>
          <w:rFonts w:ascii="仿宋_GB2312" w:eastAsia="仿宋_GB2312"/>
          <w:sz w:val="28"/>
          <w:szCs w:val="28"/>
        </w:rPr>
      </w:pPr>
      <w:r>
        <w:rPr>
          <w:rFonts w:ascii="仿宋_GB2312" w:eastAsia="仿宋_GB2312" w:hint="eastAsia"/>
          <w:sz w:val="28"/>
          <w:szCs w:val="28"/>
        </w:rPr>
        <w:t>本年度无此项支出</w:t>
      </w:r>
    </w:p>
    <w:p w14:paraId="44AEF96B" w14:textId="77777777" w:rsidR="00172E5F" w:rsidRDefault="00000000">
      <w:pPr>
        <w:spacing w:line="580" w:lineRule="exact"/>
        <w:ind w:firstLineChars="196" w:firstLine="551"/>
        <w:rPr>
          <w:rFonts w:ascii="黑体" w:eastAsia="黑体"/>
          <w:sz w:val="28"/>
          <w:szCs w:val="28"/>
        </w:rPr>
      </w:pPr>
      <w:r>
        <w:rPr>
          <w:rFonts w:ascii="黑体" w:eastAsia="黑体" w:hint="eastAsia"/>
          <w:b/>
          <w:sz w:val="28"/>
          <w:szCs w:val="28"/>
        </w:rPr>
        <w:t>七、财政拨款基本支出决算情况说明</w:t>
      </w:r>
    </w:p>
    <w:p w14:paraId="07A35ADC" w14:textId="77777777" w:rsidR="00172E5F" w:rsidRDefault="00000000">
      <w:pPr>
        <w:tabs>
          <w:tab w:val="center" w:pos="6979"/>
        </w:tabs>
        <w:spacing w:line="580" w:lineRule="exact"/>
        <w:ind w:firstLineChars="196" w:firstLine="549"/>
        <w:rPr>
          <w:rFonts w:ascii="黑体" w:eastAsia="黑体"/>
          <w:b/>
          <w:sz w:val="28"/>
          <w:szCs w:val="28"/>
        </w:rPr>
      </w:pPr>
      <w:r>
        <w:rPr>
          <w:rFonts w:ascii="仿宋_GB2312" w:eastAsia="仿宋_GB2312" w:hint="eastAsia"/>
          <w:sz w:val="28"/>
          <w:szCs w:val="28"/>
        </w:rPr>
        <w:lastRenderedPageBreak/>
        <w:t>2023年度使用一般公共预算财政拨款安排基本支出</w:t>
      </w:r>
      <w:r>
        <w:rPr>
          <w:rFonts w:ascii="仿宋_GB2312" w:eastAsia="仿宋_GB2312"/>
          <w:sz w:val="28"/>
          <w:szCs w:val="28"/>
        </w:rPr>
        <w:t>3124.16</w:t>
      </w:r>
      <w:r>
        <w:rPr>
          <w:rFonts w:ascii="仿宋_GB2312" w:eastAsia="仿宋_GB2312" w:hint="eastAsia"/>
          <w:sz w:val="28"/>
          <w:szCs w:val="28"/>
        </w:rPr>
        <w:t>万元，使用政府性基金财政拨款安排基本支出</w:t>
      </w:r>
      <w:r>
        <w:rPr>
          <w:rFonts w:ascii="仿宋_GB2312" w:eastAsia="仿宋_GB2312"/>
          <w:sz w:val="28"/>
          <w:szCs w:val="28"/>
        </w:rPr>
        <w:t>0</w:t>
      </w:r>
      <w:r>
        <w:rPr>
          <w:rFonts w:ascii="仿宋_GB2312" w:eastAsia="仿宋_GB2312" w:hint="eastAsia"/>
          <w:sz w:val="28"/>
          <w:szCs w:val="28"/>
        </w:rPr>
        <w:t>万元，其中：（1）工资福利支出包括基本工资</w:t>
      </w:r>
      <w:r>
        <w:rPr>
          <w:rFonts w:ascii="仿宋_GB2312" w:eastAsia="仿宋_GB2312"/>
          <w:sz w:val="28"/>
          <w:szCs w:val="28"/>
        </w:rPr>
        <w:t>、津贴补贴、奖金、伙食补助费、绩效工资、</w:t>
      </w:r>
      <w:r>
        <w:rPr>
          <w:rFonts w:ascii="仿宋_GB2312" w:eastAsia="仿宋_GB2312" w:hint="eastAsia"/>
          <w:sz w:val="28"/>
          <w:szCs w:val="28"/>
        </w:rPr>
        <w:t>其他</w:t>
      </w:r>
      <w:r>
        <w:rPr>
          <w:rFonts w:ascii="仿宋_GB2312" w:eastAsia="仿宋_GB2312"/>
          <w:sz w:val="28"/>
          <w:szCs w:val="28"/>
        </w:rPr>
        <w:t>社会保障缴费、其他工资福利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；（2）商品和服务支出包括</w:t>
      </w:r>
      <w:r>
        <w:rPr>
          <w:rFonts w:ascii="仿宋_GB2312" w:eastAsia="仿宋_GB2312"/>
          <w:sz w:val="28"/>
          <w:szCs w:val="28"/>
        </w:rPr>
        <w:t>办公费、印刷费、咨询费、手续费、水费、电费、邮电费、取暖费、物业管理费、差旅费、因公出国（境）费、维修（护）费、租赁费、会议费、培训费、公务接待费、专用材料费、劳务费、委托业务费、工会经费、福利费、公务用车运行维护费、其他交通费、其他商品和服务</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；（3）对个人和家庭补助支出包括</w:t>
      </w:r>
      <w:r>
        <w:rPr>
          <w:rFonts w:ascii="仿宋_GB2312" w:eastAsia="仿宋_GB2312"/>
          <w:sz w:val="28"/>
          <w:szCs w:val="28"/>
        </w:rPr>
        <w:t>离休费、退休费、抚恤金、生活补助、</w:t>
      </w:r>
      <w:r>
        <w:rPr>
          <w:rFonts w:ascii="仿宋_GB2312" w:eastAsia="仿宋_GB2312" w:hint="eastAsia"/>
          <w:sz w:val="28"/>
          <w:szCs w:val="28"/>
        </w:rPr>
        <w:t>救济费</w:t>
      </w:r>
      <w:r>
        <w:rPr>
          <w:rFonts w:ascii="仿宋_GB2312" w:eastAsia="仿宋_GB2312"/>
          <w:sz w:val="28"/>
          <w:szCs w:val="28"/>
        </w:rPr>
        <w:t>、医疗费</w:t>
      </w:r>
      <w:r>
        <w:rPr>
          <w:rFonts w:ascii="仿宋_GB2312" w:eastAsia="仿宋_GB2312" w:hint="eastAsia"/>
          <w:sz w:val="28"/>
          <w:szCs w:val="28"/>
        </w:rPr>
        <w:t>补助</w:t>
      </w:r>
      <w:r>
        <w:rPr>
          <w:rFonts w:ascii="仿宋_GB2312" w:eastAsia="仿宋_GB2312"/>
          <w:sz w:val="28"/>
          <w:szCs w:val="28"/>
        </w:rPr>
        <w:t>、助学金、奖励金</w:t>
      </w:r>
      <w:r>
        <w:rPr>
          <w:rFonts w:ascii="仿宋_GB2312" w:eastAsia="仿宋_GB2312" w:hint="eastAsia"/>
          <w:sz w:val="28"/>
          <w:szCs w:val="28"/>
        </w:rPr>
        <w:t>、</w:t>
      </w:r>
      <w:r>
        <w:rPr>
          <w:rFonts w:ascii="仿宋_GB2312" w:eastAsia="仿宋_GB2312"/>
          <w:sz w:val="28"/>
          <w:szCs w:val="28"/>
        </w:rPr>
        <w:t>其他对个人和家庭的补助</w:t>
      </w:r>
      <w:r>
        <w:rPr>
          <w:rFonts w:ascii="仿宋_GB2312" w:eastAsia="仿宋_GB2312" w:hint="eastAsia"/>
          <w:sz w:val="28"/>
          <w:szCs w:val="28"/>
        </w:rPr>
        <w:t>等</w:t>
      </w:r>
      <w:r>
        <w:rPr>
          <w:rFonts w:ascii="仿宋_GB2312" w:eastAsia="仿宋_GB2312"/>
          <w:sz w:val="28"/>
          <w:szCs w:val="28"/>
        </w:rPr>
        <w:t>支出</w:t>
      </w:r>
      <w:r>
        <w:rPr>
          <w:rFonts w:ascii="仿宋_GB2312" w:eastAsia="仿宋_GB2312" w:hint="eastAsia"/>
          <w:sz w:val="28"/>
          <w:szCs w:val="28"/>
        </w:rPr>
        <w:t>。（4）其他资本性支出包括</w:t>
      </w:r>
      <w:r>
        <w:rPr>
          <w:rFonts w:ascii="仿宋_GB2312" w:eastAsia="仿宋_GB2312"/>
          <w:sz w:val="28"/>
          <w:szCs w:val="28"/>
        </w:rPr>
        <w:t>办公设备购置、专用设备购置</w:t>
      </w:r>
      <w:r>
        <w:rPr>
          <w:rFonts w:ascii="仿宋_GB2312" w:eastAsia="仿宋_GB2312" w:hint="eastAsia"/>
          <w:sz w:val="28"/>
          <w:szCs w:val="28"/>
        </w:rPr>
        <w:t>等</w:t>
      </w:r>
      <w:r>
        <w:rPr>
          <w:rFonts w:ascii="仿宋_GB2312" w:eastAsia="仿宋_GB2312"/>
          <w:sz w:val="28"/>
          <w:szCs w:val="28"/>
        </w:rPr>
        <w:t>。</w:t>
      </w:r>
    </w:p>
    <w:p w14:paraId="20E16D5C" w14:textId="77777777" w:rsidR="00172E5F" w:rsidRDefault="00000000">
      <w:pPr>
        <w:autoSpaceDE w:val="0"/>
        <w:autoSpaceDN w:val="0"/>
        <w:adjustRightInd w:val="0"/>
        <w:spacing w:line="580" w:lineRule="exact"/>
        <w:jc w:val="center"/>
        <w:rPr>
          <w:rFonts w:ascii="宋体" w:hAnsi="宋体" w:cs="宋体" w:hint="eastAsia"/>
          <w:b/>
          <w:spacing w:val="40"/>
          <w:kern w:val="0"/>
          <w:sz w:val="32"/>
          <w:szCs w:val="32"/>
        </w:rPr>
      </w:pPr>
      <w:r>
        <w:rPr>
          <w:rFonts w:ascii="仿宋_GB2312" w:eastAsia="仿宋_GB2312"/>
          <w:sz w:val="28"/>
          <w:szCs w:val="28"/>
        </w:rPr>
        <w:br w:type="page"/>
      </w:r>
      <w:r>
        <w:rPr>
          <w:rFonts w:ascii="宋体" w:hAnsi="宋体" w:cs="宋体" w:hint="eastAsia"/>
          <w:b/>
          <w:bCs/>
          <w:spacing w:val="40"/>
          <w:kern w:val="0"/>
          <w:sz w:val="32"/>
          <w:szCs w:val="32"/>
        </w:rPr>
        <w:lastRenderedPageBreak/>
        <w:t>第三部分</w:t>
      </w:r>
      <w:r>
        <w:rPr>
          <w:rFonts w:ascii="宋体" w:hAnsi="宋体" w:hint="eastAsia"/>
          <w:b/>
          <w:spacing w:val="40"/>
          <w:sz w:val="32"/>
          <w:szCs w:val="32"/>
        </w:rPr>
        <w:t>2023年度</w:t>
      </w:r>
      <w:r>
        <w:rPr>
          <w:rFonts w:ascii="宋体" w:hAnsi="宋体" w:cs="宋体" w:hint="eastAsia"/>
          <w:b/>
          <w:spacing w:val="40"/>
          <w:kern w:val="0"/>
          <w:sz w:val="32"/>
          <w:szCs w:val="32"/>
        </w:rPr>
        <w:t>其他重要事项的情况说明</w:t>
      </w:r>
    </w:p>
    <w:p w14:paraId="032D282F" w14:textId="77777777" w:rsidR="00172E5F" w:rsidRDefault="00172E5F">
      <w:pPr>
        <w:pStyle w:val="a0"/>
        <w:ind w:firstLine="420"/>
      </w:pPr>
    </w:p>
    <w:p w14:paraId="766B4AAB" w14:textId="77777777" w:rsidR="00172E5F" w:rsidRDefault="00000000">
      <w:pPr>
        <w:spacing w:line="580" w:lineRule="exact"/>
        <w:ind w:firstLineChars="200" w:firstLine="560"/>
        <w:rPr>
          <w:rFonts w:ascii="黑体" w:eastAsia="黑体"/>
          <w:sz w:val="28"/>
          <w:szCs w:val="28"/>
        </w:rPr>
      </w:pPr>
      <w:r>
        <w:rPr>
          <w:rFonts w:ascii="黑体" w:eastAsia="黑体" w:hint="eastAsia"/>
          <w:sz w:val="28"/>
          <w:szCs w:val="28"/>
        </w:rPr>
        <w:t>一、“三公”经费财政拨款决算情况</w:t>
      </w:r>
    </w:p>
    <w:p w14:paraId="0D1C79CA" w14:textId="77777777" w:rsidR="00172E5F" w:rsidRDefault="00000000">
      <w:pPr>
        <w:spacing w:line="580" w:lineRule="exact"/>
        <w:ind w:firstLine="600"/>
        <w:rPr>
          <w:rFonts w:ascii="仿宋_GB2312" w:eastAsia="仿宋_GB2312"/>
          <w:sz w:val="28"/>
          <w:szCs w:val="28"/>
        </w:rPr>
      </w:pPr>
      <w:r>
        <w:rPr>
          <w:rFonts w:ascii="仿宋_GB2312" w:eastAsia="仿宋_GB2312" w:hint="eastAsia"/>
          <w:sz w:val="28"/>
          <w:szCs w:val="28"/>
        </w:rPr>
        <w:t>“三公”经费包括本部门所属0个行政单位、1个</w:t>
      </w:r>
      <w:r>
        <w:rPr>
          <w:rFonts w:ascii="仿宋_GB2312" w:eastAsia="仿宋_GB2312"/>
          <w:sz w:val="28"/>
          <w:szCs w:val="28"/>
        </w:rPr>
        <w:t>参</w:t>
      </w:r>
      <w:r>
        <w:rPr>
          <w:rFonts w:ascii="仿宋_GB2312" w:eastAsia="仿宋_GB2312" w:hint="eastAsia"/>
          <w:sz w:val="28"/>
          <w:szCs w:val="28"/>
        </w:rPr>
        <w:t>照</w:t>
      </w:r>
      <w:r>
        <w:rPr>
          <w:rFonts w:ascii="仿宋_GB2312" w:eastAsia="仿宋_GB2312"/>
          <w:sz w:val="28"/>
          <w:szCs w:val="28"/>
        </w:rPr>
        <w:t>公务员法管理事业单位</w:t>
      </w:r>
      <w:r>
        <w:rPr>
          <w:rFonts w:ascii="仿宋_GB2312" w:eastAsia="仿宋_GB2312" w:hint="eastAsia"/>
          <w:sz w:val="28"/>
          <w:szCs w:val="28"/>
        </w:rPr>
        <w:t>、0</w:t>
      </w:r>
      <w:r>
        <w:rPr>
          <w:rFonts w:ascii="仿宋_GB2312" w:eastAsia="仿宋_GB2312" w:hint="eastAsia"/>
          <w:bCs/>
          <w:sz w:val="28"/>
          <w:szCs w:val="28"/>
        </w:rPr>
        <w:t>个</w:t>
      </w:r>
      <w:r>
        <w:rPr>
          <w:rFonts w:ascii="仿宋_GB2312" w:eastAsia="仿宋_GB2312" w:hint="eastAsia"/>
          <w:sz w:val="28"/>
          <w:szCs w:val="28"/>
        </w:rPr>
        <w:t>事业单位。2023年度“三公”经费财政拨款决算数</w:t>
      </w:r>
      <w:r>
        <w:rPr>
          <w:rFonts w:ascii="仿宋_GB2312" w:eastAsia="仿宋_GB2312"/>
          <w:sz w:val="28"/>
          <w:szCs w:val="28"/>
        </w:rPr>
        <w:t>22.48</w:t>
      </w:r>
      <w:r>
        <w:rPr>
          <w:rFonts w:ascii="仿宋_GB2312" w:eastAsia="仿宋_GB2312" w:hint="eastAsia"/>
          <w:sz w:val="28"/>
          <w:szCs w:val="28"/>
        </w:rPr>
        <w:t>万元，比2023年度“三公”经费财政拨款年初预算</w:t>
      </w:r>
      <w:r>
        <w:rPr>
          <w:rFonts w:ascii="仿宋_GB2312" w:eastAsia="仿宋_GB2312"/>
          <w:sz w:val="28"/>
          <w:szCs w:val="28"/>
        </w:rPr>
        <w:t>55.51</w:t>
      </w:r>
      <w:r>
        <w:rPr>
          <w:rFonts w:ascii="仿宋_GB2312" w:eastAsia="仿宋_GB2312" w:hint="eastAsia"/>
          <w:sz w:val="28"/>
          <w:szCs w:val="28"/>
        </w:rPr>
        <w:t>万元减少</w:t>
      </w:r>
      <w:r>
        <w:rPr>
          <w:rFonts w:ascii="仿宋_GB2312" w:eastAsia="仿宋_GB2312"/>
          <w:sz w:val="28"/>
          <w:szCs w:val="28"/>
        </w:rPr>
        <w:t>33.03</w:t>
      </w:r>
      <w:r>
        <w:rPr>
          <w:rFonts w:ascii="仿宋_GB2312" w:eastAsia="仿宋_GB2312" w:hint="eastAsia"/>
          <w:sz w:val="28"/>
          <w:szCs w:val="28"/>
        </w:rPr>
        <w:t>万元。其中：</w:t>
      </w:r>
    </w:p>
    <w:p w14:paraId="1878E193" w14:textId="77777777" w:rsidR="00172E5F" w:rsidRDefault="00000000">
      <w:pPr>
        <w:spacing w:line="580" w:lineRule="exact"/>
        <w:ind w:firstLine="600"/>
        <w:rPr>
          <w:rFonts w:ascii="仿宋_GB2312" w:eastAsia="仿宋_GB2312"/>
          <w:sz w:val="28"/>
          <w:szCs w:val="28"/>
        </w:rPr>
      </w:pPr>
      <w:r>
        <w:rPr>
          <w:rFonts w:ascii="仿宋_GB2312" w:eastAsia="仿宋_GB2312" w:hint="eastAsia"/>
          <w:sz w:val="28"/>
          <w:szCs w:val="28"/>
        </w:rPr>
        <w:t>1.因公出国（境）费用。2023年度决算数</w:t>
      </w:r>
      <w:r>
        <w:rPr>
          <w:rFonts w:ascii="仿宋_GB2312" w:eastAsia="仿宋_GB2312"/>
          <w:sz w:val="28"/>
          <w:szCs w:val="28"/>
        </w:rPr>
        <w:t>13.98</w:t>
      </w:r>
      <w:r>
        <w:rPr>
          <w:rFonts w:ascii="仿宋_GB2312" w:eastAsia="仿宋_GB2312" w:hint="eastAsia"/>
          <w:sz w:val="28"/>
          <w:szCs w:val="28"/>
        </w:rPr>
        <w:t>万元，比2023年度年初预算数</w:t>
      </w:r>
      <w:r>
        <w:rPr>
          <w:rFonts w:ascii="仿宋_GB2312" w:eastAsia="仿宋_GB2312"/>
          <w:sz w:val="28"/>
          <w:szCs w:val="28"/>
        </w:rPr>
        <w:t>29.31</w:t>
      </w:r>
      <w:r>
        <w:rPr>
          <w:rFonts w:ascii="仿宋_GB2312" w:eastAsia="仿宋_GB2312" w:hint="eastAsia"/>
          <w:sz w:val="28"/>
          <w:szCs w:val="28"/>
        </w:rPr>
        <w:t>万元减少</w:t>
      </w:r>
      <w:r>
        <w:rPr>
          <w:rFonts w:ascii="仿宋_GB2312" w:eastAsia="仿宋_GB2312"/>
          <w:sz w:val="28"/>
          <w:szCs w:val="28"/>
        </w:rPr>
        <w:t>15.32</w:t>
      </w:r>
      <w:r>
        <w:rPr>
          <w:rFonts w:ascii="仿宋_GB2312" w:eastAsia="仿宋_GB2312" w:hint="eastAsia"/>
          <w:sz w:val="28"/>
          <w:szCs w:val="28"/>
        </w:rPr>
        <w:t>万元。主要原因：是因台海形势使赴台交流未能成行；2023年度因公出国（境）费用主要用于出访日本、新加坡等学习交流乡村振兴的经验做法，2023年度组织因公出国（境）团组1个、3人次，人均因公出国（境）费用4.66万元。</w:t>
      </w:r>
    </w:p>
    <w:p w14:paraId="707277CD" w14:textId="77777777" w:rsidR="00172E5F" w:rsidRDefault="00000000">
      <w:pPr>
        <w:spacing w:line="580" w:lineRule="exact"/>
        <w:ind w:firstLine="600"/>
        <w:rPr>
          <w:rFonts w:ascii="仿宋_GB2312" w:eastAsia="仿宋_GB2312"/>
          <w:sz w:val="28"/>
          <w:szCs w:val="28"/>
        </w:rPr>
      </w:pPr>
      <w:r>
        <w:rPr>
          <w:rFonts w:ascii="仿宋_GB2312" w:eastAsia="仿宋_GB2312" w:hint="eastAsia"/>
          <w:sz w:val="28"/>
          <w:szCs w:val="28"/>
        </w:rPr>
        <w:t>2.公务接待费。2023年度决算数0万元，比2023年度年初预算数3.72万元减少3.72万元。主要原因：单位严格执行中央八项规定，并落实财政过紧日子要求，2023年度没有安排公务接待支出。</w:t>
      </w:r>
    </w:p>
    <w:p w14:paraId="726AE489" w14:textId="77777777" w:rsidR="00172E5F" w:rsidRDefault="00000000">
      <w:pPr>
        <w:spacing w:line="580" w:lineRule="exact"/>
        <w:ind w:firstLineChars="200" w:firstLine="560"/>
        <w:rPr>
          <w:rFonts w:ascii="仿宋_GB2312" w:eastAsia="仿宋_GB2312"/>
          <w:sz w:val="28"/>
          <w:szCs w:val="28"/>
        </w:rPr>
      </w:pPr>
      <w:r>
        <w:rPr>
          <w:rFonts w:ascii="仿宋_GB2312" w:eastAsia="仿宋_GB2312" w:hint="eastAsia"/>
          <w:sz w:val="28"/>
          <w:szCs w:val="28"/>
        </w:rPr>
        <w:t>3.公务用车购置及运行维护费。2023年度决算数8.50万元，比2023年度年初预算数22.48万元减少13.98万元。其中，公务用车购置费2023年度决算数</w:t>
      </w:r>
      <w:r>
        <w:rPr>
          <w:rFonts w:ascii="仿宋_GB2312" w:eastAsia="仿宋_GB2312"/>
          <w:sz w:val="28"/>
          <w:szCs w:val="28"/>
        </w:rPr>
        <w:t>0</w:t>
      </w:r>
      <w:r>
        <w:rPr>
          <w:rFonts w:ascii="仿宋_GB2312" w:eastAsia="仿宋_GB2312" w:hint="eastAsia"/>
          <w:sz w:val="28"/>
          <w:szCs w:val="28"/>
        </w:rPr>
        <w:t>万元，比2023年度年初预算数</w:t>
      </w:r>
      <w:r>
        <w:rPr>
          <w:rFonts w:ascii="仿宋_GB2312" w:eastAsia="仿宋_GB2312"/>
          <w:sz w:val="28"/>
          <w:szCs w:val="28"/>
        </w:rPr>
        <w:t>0</w:t>
      </w:r>
      <w:r>
        <w:rPr>
          <w:rFonts w:ascii="仿宋_GB2312" w:eastAsia="仿宋_GB2312" w:hint="eastAsia"/>
          <w:sz w:val="28"/>
          <w:szCs w:val="28"/>
        </w:rPr>
        <w:t>万元增加（减少）</w:t>
      </w:r>
      <w:r>
        <w:rPr>
          <w:rFonts w:ascii="仿宋_GB2312" w:eastAsia="仿宋_GB2312"/>
          <w:sz w:val="28"/>
          <w:szCs w:val="28"/>
        </w:rPr>
        <w:t>0</w:t>
      </w:r>
      <w:r>
        <w:rPr>
          <w:rFonts w:ascii="仿宋_GB2312" w:eastAsia="仿宋_GB2312" w:hint="eastAsia"/>
          <w:sz w:val="28"/>
          <w:szCs w:val="28"/>
        </w:rPr>
        <w:t>万元。主要原因：本年没有更新购置车辆安排，2023年度购置（更新）0辆，车均购置费0万元。公务用车运行维护费2023年度决算数</w:t>
      </w:r>
      <w:r>
        <w:rPr>
          <w:rFonts w:ascii="仿宋_GB2312" w:eastAsia="仿宋_GB2312"/>
          <w:sz w:val="28"/>
          <w:szCs w:val="28"/>
        </w:rPr>
        <w:t>8.5</w:t>
      </w:r>
      <w:r>
        <w:rPr>
          <w:rFonts w:ascii="仿宋_GB2312" w:eastAsia="仿宋_GB2312" w:hint="eastAsia"/>
          <w:sz w:val="28"/>
          <w:szCs w:val="28"/>
        </w:rPr>
        <w:t>万元，比2023年度年初预算数22.48万元减少13.98万元，主要原因：2023年中心按要求开展疫情督导督查任务减轻，相应公务用车运维费用减少。2023年度公务用车运行维护费中，公务用车加油</w:t>
      </w:r>
      <w:r>
        <w:rPr>
          <w:rFonts w:ascii="仿宋_GB2312" w:eastAsia="仿宋_GB2312"/>
          <w:sz w:val="28"/>
          <w:szCs w:val="28"/>
        </w:rPr>
        <w:t>4</w:t>
      </w:r>
      <w:r>
        <w:rPr>
          <w:rFonts w:ascii="仿宋_GB2312" w:eastAsia="仿宋_GB2312" w:hint="eastAsia"/>
          <w:sz w:val="28"/>
          <w:szCs w:val="28"/>
        </w:rPr>
        <w:t>万元，公务用车维修</w:t>
      </w:r>
      <w:r>
        <w:rPr>
          <w:rFonts w:ascii="仿宋_GB2312" w:eastAsia="仿宋_GB2312"/>
          <w:sz w:val="28"/>
          <w:szCs w:val="28"/>
        </w:rPr>
        <w:t>1.15</w:t>
      </w:r>
      <w:r>
        <w:rPr>
          <w:rFonts w:ascii="仿宋_GB2312" w:eastAsia="仿宋_GB2312" w:hint="eastAsia"/>
          <w:sz w:val="28"/>
          <w:szCs w:val="28"/>
        </w:rPr>
        <w:t>万元，公务用车保险</w:t>
      </w:r>
      <w:r>
        <w:rPr>
          <w:rFonts w:ascii="仿宋_GB2312" w:eastAsia="仿宋_GB2312"/>
          <w:sz w:val="28"/>
          <w:szCs w:val="28"/>
        </w:rPr>
        <w:t>1.54</w:t>
      </w:r>
      <w:r>
        <w:rPr>
          <w:rFonts w:ascii="仿宋_GB2312" w:eastAsia="仿宋_GB2312" w:hint="eastAsia"/>
          <w:sz w:val="28"/>
          <w:szCs w:val="28"/>
        </w:rPr>
        <w:t>万元，公务用车其他支出</w:t>
      </w:r>
      <w:r>
        <w:rPr>
          <w:rFonts w:ascii="仿宋_GB2312" w:eastAsia="仿宋_GB2312"/>
          <w:sz w:val="28"/>
          <w:szCs w:val="28"/>
        </w:rPr>
        <w:t>1.81</w:t>
      </w:r>
      <w:r>
        <w:rPr>
          <w:rFonts w:ascii="仿宋_GB2312" w:eastAsia="仿宋_GB2312" w:hint="eastAsia"/>
          <w:sz w:val="28"/>
          <w:szCs w:val="28"/>
        </w:rPr>
        <w:t>万元。2023年度公务用车保有量13辆，车均运行维护费0.65万元。</w:t>
      </w:r>
    </w:p>
    <w:p w14:paraId="09CE5FB9" w14:textId="77777777" w:rsidR="00172E5F" w:rsidRDefault="00000000">
      <w:pPr>
        <w:tabs>
          <w:tab w:val="center" w:pos="6979"/>
        </w:tabs>
        <w:spacing w:line="580" w:lineRule="exact"/>
        <w:ind w:firstLineChars="198" w:firstLine="554"/>
        <w:rPr>
          <w:rFonts w:ascii="黑体" w:eastAsia="黑体"/>
          <w:sz w:val="28"/>
          <w:szCs w:val="28"/>
        </w:rPr>
      </w:pPr>
      <w:r>
        <w:rPr>
          <w:rFonts w:ascii="黑体" w:eastAsia="黑体" w:hint="eastAsia"/>
          <w:sz w:val="28"/>
          <w:szCs w:val="28"/>
        </w:rPr>
        <w:lastRenderedPageBreak/>
        <w:t>二、机关运行经费支出情况</w:t>
      </w:r>
    </w:p>
    <w:p w14:paraId="4D3AEABD" w14:textId="77777777" w:rsidR="00172E5F" w:rsidRDefault="00000000">
      <w:pPr>
        <w:spacing w:line="580" w:lineRule="exact"/>
        <w:ind w:firstLine="709"/>
        <w:rPr>
          <w:rFonts w:ascii="仿宋_GB2312" w:eastAsia="仿宋_GB2312"/>
          <w:sz w:val="28"/>
          <w:szCs w:val="28"/>
        </w:rPr>
      </w:pPr>
      <w:r>
        <w:rPr>
          <w:rFonts w:ascii="仿宋_GB2312" w:eastAsia="仿宋_GB2312" w:hint="eastAsia"/>
          <w:sz w:val="28"/>
          <w:szCs w:val="28"/>
        </w:rPr>
        <w:t>2023年度使用财政拨款安排的基本支出中的日常公用经费支出，合计438.60万元，比上年466.37万元减少27.77万元，减少原因：</w:t>
      </w:r>
      <w:r>
        <w:rPr>
          <w:rFonts w:ascii="仿宋_GB2312" w:eastAsia="仿宋_GB2312"/>
          <w:sz w:val="28"/>
          <w:szCs w:val="28"/>
          <w:lang w:val="en"/>
        </w:rPr>
        <w:t>2</w:t>
      </w:r>
      <w:r>
        <w:rPr>
          <w:rFonts w:ascii="仿宋_GB2312" w:eastAsia="仿宋_GB2312" w:hint="eastAsia"/>
          <w:sz w:val="28"/>
          <w:szCs w:val="28"/>
        </w:rPr>
        <w:t>023年在职人数较上年减少，导致公用经费预算减少，同时落实财政过紧日子要求，机关运行经费支出相应减少</w:t>
      </w:r>
      <w:r>
        <w:rPr>
          <w:rFonts w:ascii="仿宋_GB2312" w:eastAsia="仿宋_GB2312" w:hAnsi="仿宋" w:cs="仿宋" w:hint="eastAsia"/>
          <w:bCs/>
          <w:color w:val="000000"/>
          <w:sz w:val="32"/>
          <w:szCs w:val="32"/>
        </w:rPr>
        <w:t>。</w:t>
      </w:r>
    </w:p>
    <w:p w14:paraId="684C26C8" w14:textId="77777777" w:rsidR="00172E5F" w:rsidRDefault="00000000">
      <w:pPr>
        <w:spacing w:line="580" w:lineRule="exact"/>
        <w:ind w:left="540"/>
        <w:rPr>
          <w:rFonts w:ascii="黑体" w:eastAsia="黑体"/>
          <w:sz w:val="28"/>
          <w:szCs w:val="28"/>
        </w:rPr>
      </w:pPr>
      <w:r>
        <w:rPr>
          <w:rFonts w:ascii="黑体" w:eastAsia="黑体" w:hint="eastAsia"/>
          <w:sz w:val="28"/>
          <w:szCs w:val="28"/>
        </w:rPr>
        <w:t>三、政府采购支出情况</w:t>
      </w:r>
    </w:p>
    <w:p w14:paraId="4C78A37E" w14:textId="77777777" w:rsidR="00172E5F" w:rsidRDefault="00000000">
      <w:pPr>
        <w:spacing w:line="580" w:lineRule="exact"/>
        <w:ind w:firstLineChars="192" w:firstLine="538"/>
        <w:rPr>
          <w:rFonts w:ascii="仿宋_GB2312" w:eastAsia="仿宋_GB2312"/>
          <w:sz w:val="28"/>
          <w:szCs w:val="28"/>
        </w:rPr>
      </w:pPr>
      <w:r>
        <w:rPr>
          <w:rFonts w:ascii="仿宋_GB2312" w:eastAsia="仿宋_GB2312" w:hint="eastAsia"/>
          <w:sz w:val="28"/>
          <w:szCs w:val="28"/>
        </w:rPr>
        <w:t>2023年度政府采购支出总额</w:t>
      </w:r>
      <w:r>
        <w:rPr>
          <w:rFonts w:ascii="仿宋_GB2312" w:eastAsia="仿宋_GB2312"/>
          <w:sz w:val="28"/>
          <w:szCs w:val="28"/>
        </w:rPr>
        <w:t>476.11</w:t>
      </w:r>
      <w:r>
        <w:rPr>
          <w:rFonts w:ascii="仿宋_GB2312" w:eastAsia="仿宋_GB2312" w:hint="eastAsia"/>
          <w:sz w:val="28"/>
          <w:szCs w:val="28"/>
        </w:rPr>
        <w:t>万元，其中：政府采购货物支出</w:t>
      </w:r>
      <w:r>
        <w:rPr>
          <w:rFonts w:ascii="仿宋_GB2312" w:eastAsia="仿宋_GB2312"/>
          <w:sz w:val="28"/>
          <w:szCs w:val="28"/>
        </w:rPr>
        <w:t>29.51</w:t>
      </w:r>
      <w:r>
        <w:rPr>
          <w:rFonts w:ascii="仿宋_GB2312" w:eastAsia="仿宋_GB2312" w:hint="eastAsia"/>
          <w:sz w:val="28"/>
          <w:szCs w:val="28"/>
        </w:rPr>
        <w:t>万元，政府采购工程支出</w:t>
      </w:r>
      <w:r>
        <w:rPr>
          <w:rFonts w:ascii="仿宋_GB2312" w:eastAsia="仿宋_GB2312"/>
          <w:sz w:val="28"/>
          <w:szCs w:val="28"/>
        </w:rPr>
        <w:t>0</w:t>
      </w:r>
      <w:r>
        <w:rPr>
          <w:rFonts w:ascii="仿宋_GB2312" w:eastAsia="仿宋_GB2312" w:hint="eastAsia"/>
          <w:sz w:val="28"/>
          <w:szCs w:val="28"/>
        </w:rPr>
        <w:t>万元，政府采购服务支出</w:t>
      </w:r>
      <w:r>
        <w:rPr>
          <w:rFonts w:ascii="仿宋_GB2312" w:eastAsia="仿宋_GB2312"/>
          <w:sz w:val="28"/>
          <w:szCs w:val="28"/>
        </w:rPr>
        <w:t>446.6</w:t>
      </w:r>
      <w:r>
        <w:rPr>
          <w:rFonts w:ascii="仿宋_GB2312" w:eastAsia="仿宋_GB2312" w:hint="eastAsia"/>
          <w:sz w:val="28"/>
          <w:szCs w:val="28"/>
        </w:rPr>
        <w:t>万元。授予中小企业合同金额</w:t>
      </w:r>
      <w:r>
        <w:rPr>
          <w:rFonts w:ascii="仿宋_GB2312" w:eastAsia="仿宋_GB2312"/>
          <w:sz w:val="28"/>
          <w:szCs w:val="28"/>
        </w:rPr>
        <w:t>475.01</w:t>
      </w:r>
      <w:r>
        <w:rPr>
          <w:rFonts w:ascii="仿宋_GB2312" w:eastAsia="仿宋_GB2312" w:hint="eastAsia"/>
          <w:sz w:val="28"/>
          <w:szCs w:val="28"/>
        </w:rPr>
        <w:t>万元，占政府采购支出总额的</w:t>
      </w:r>
      <w:r>
        <w:rPr>
          <w:rFonts w:ascii="仿宋_GB2312" w:eastAsia="仿宋_GB2312"/>
          <w:sz w:val="28"/>
          <w:szCs w:val="28"/>
        </w:rPr>
        <w:t>99.7</w:t>
      </w:r>
      <w:r>
        <w:rPr>
          <w:rFonts w:ascii="仿宋_GB2312" w:eastAsia="仿宋_GB2312" w:hint="eastAsia"/>
          <w:sz w:val="28"/>
          <w:szCs w:val="28"/>
        </w:rPr>
        <w:t>7%，其中：授予小微企业合同金额</w:t>
      </w:r>
      <w:r>
        <w:rPr>
          <w:rFonts w:ascii="仿宋_GB2312" w:eastAsia="仿宋_GB2312"/>
          <w:sz w:val="28"/>
          <w:szCs w:val="28"/>
        </w:rPr>
        <w:t>439.21</w:t>
      </w:r>
      <w:r>
        <w:rPr>
          <w:rFonts w:ascii="仿宋_GB2312" w:eastAsia="仿宋_GB2312" w:hint="eastAsia"/>
          <w:sz w:val="28"/>
          <w:szCs w:val="28"/>
        </w:rPr>
        <w:t>万元，占政府采购支出总额的</w:t>
      </w:r>
      <w:r>
        <w:rPr>
          <w:rFonts w:ascii="仿宋_GB2312" w:eastAsia="仿宋_GB2312"/>
          <w:sz w:val="28"/>
          <w:szCs w:val="28"/>
        </w:rPr>
        <w:t>92.25</w:t>
      </w:r>
      <w:r>
        <w:rPr>
          <w:rFonts w:ascii="仿宋_GB2312" w:eastAsia="仿宋_GB2312" w:hint="eastAsia"/>
          <w:sz w:val="28"/>
          <w:szCs w:val="28"/>
        </w:rPr>
        <w:t>%。</w:t>
      </w:r>
    </w:p>
    <w:p w14:paraId="4B24F4A3" w14:textId="77777777" w:rsidR="00172E5F" w:rsidRDefault="00000000">
      <w:pPr>
        <w:spacing w:line="580" w:lineRule="exact"/>
        <w:ind w:firstLineChars="200" w:firstLine="560"/>
        <w:rPr>
          <w:rFonts w:ascii="黑体" w:eastAsia="黑体"/>
          <w:sz w:val="28"/>
          <w:szCs w:val="28"/>
          <w:highlight w:val="yellow"/>
        </w:rPr>
      </w:pPr>
      <w:r>
        <w:rPr>
          <w:rFonts w:ascii="黑体" w:eastAsia="黑体" w:hint="eastAsia"/>
          <w:sz w:val="28"/>
          <w:szCs w:val="28"/>
        </w:rPr>
        <w:t>四、国有资产占用情况</w:t>
      </w:r>
    </w:p>
    <w:p w14:paraId="63C9DF37" w14:textId="77777777" w:rsidR="00172E5F" w:rsidRDefault="00000000">
      <w:pPr>
        <w:spacing w:line="580" w:lineRule="exact"/>
        <w:ind w:firstLineChars="200" w:firstLine="560"/>
        <w:rPr>
          <w:rFonts w:ascii="仿宋_GB2312" w:eastAsia="仿宋_GB2312"/>
          <w:sz w:val="32"/>
          <w:szCs w:val="32"/>
        </w:rPr>
      </w:pPr>
      <w:r>
        <w:rPr>
          <w:rFonts w:ascii="仿宋_GB2312" w:eastAsia="仿宋_GB2312" w:hint="eastAsia"/>
          <w:sz w:val="28"/>
          <w:szCs w:val="28"/>
        </w:rPr>
        <w:t>2023年度新购置车辆</w:t>
      </w:r>
      <w:r>
        <w:rPr>
          <w:rFonts w:ascii="仿宋_GB2312" w:eastAsia="仿宋_GB2312"/>
          <w:sz w:val="28"/>
          <w:szCs w:val="28"/>
          <w:lang w:val="en"/>
        </w:rPr>
        <w:t>0</w:t>
      </w:r>
      <w:r>
        <w:rPr>
          <w:rFonts w:ascii="仿宋_GB2312" w:eastAsia="仿宋_GB2312" w:hint="eastAsia"/>
          <w:sz w:val="28"/>
          <w:szCs w:val="28"/>
        </w:rPr>
        <w:t>台，共计</w:t>
      </w:r>
      <w:r>
        <w:rPr>
          <w:rFonts w:ascii="仿宋_GB2312" w:eastAsia="仿宋_GB2312"/>
          <w:sz w:val="28"/>
          <w:szCs w:val="28"/>
          <w:lang w:val="en"/>
        </w:rPr>
        <w:t>0</w:t>
      </w:r>
      <w:r>
        <w:rPr>
          <w:rFonts w:ascii="仿宋_GB2312" w:eastAsia="仿宋_GB2312" w:hint="eastAsia"/>
          <w:sz w:val="28"/>
          <w:szCs w:val="28"/>
        </w:rPr>
        <w:t>万元；新购置单位价值100万元（含）以上的设备</w:t>
      </w:r>
      <w:r>
        <w:rPr>
          <w:rFonts w:ascii="仿宋_GB2312" w:eastAsia="仿宋_GB2312"/>
          <w:sz w:val="28"/>
          <w:szCs w:val="28"/>
          <w:lang w:val="en"/>
        </w:rPr>
        <w:t>0</w:t>
      </w:r>
      <w:r>
        <w:rPr>
          <w:rFonts w:ascii="仿宋_GB2312" w:eastAsia="仿宋_GB2312" w:hint="eastAsia"/>
          <w:sz w:val="28"/>
          <w:szCs w:val="28"/>
        </w:rPr>
        <w:t>台（套），共计</w:t>
      </w:r>
      <w:r>
        <w:rPr>
          <w:rFonts w:ascii="仿宋_GB2312" w:eastAsia="仿宋_GB2312"/>
          <w:sz w:val="28"/>
          <w:szCs w:val="28"/>
          <w:lang w:val="en"/>
        </w:rPr>
        <w:t>0</w:t>
      </w:r>
      <w:r>
        <w:rPr>
          <w:rFonts w:ascii="仿宋_GB2312" w:eastAsia="仿宋_GB2312" w:hint="eastAsia"/>
          <w:sz w:val="28"/>
          <w:szCs w:val="28"/>
        </w:rPr>
        <w:t>万元。截至12月31日，</w:t>
      </w:r>
      <w:r>
        <w:rPr>
          <w:rFonts w:ascii="仿宋_GB2312" w:eastAsia="仿宋_GB2312" w:hint="eastAsia"/>
          <w:sz w:val="28"/>
          <w:szCs w:val="28"/>
          <w:lang w:val="en"/>
        </w:rPr>
        <w:t>本</w:t>
      </w:r>
      <w:r>
        <w:rPr>
          <w:rFonts w:ascii="仿宋_GB2312" w:eastAsia="仿宋_GB2312" w:hint="eastAsia"/>
          <w:sz w:val="28"/>
          <w:szCs w:val="28"/>
        </w:rPr>
        <w:t>部门共有车辆</w:t>
      </w:r>
      <w:r>
        <w:rPr>
          <w:rFonts w:ascii="仿宋_GB2312" w:eastAsia="仿宋_GB2312"/>
          <w:sz w:val="28"/>
          <w:szCs w:val="28"/>
          <w:lang w:val="en"/>
        </w:rPr>
        <w:t>13</w:t>
      </w:r>
      <w:r>
        <w:rPr>
          <w:rFonts w:ascii="仿宋_GB2312" w:eastAsia="仿宋_GB2312" w:hint="eastAsia"/>
          <w:sz w:val="28"/>
          <w:szCs w:val="28"/>
        </w:rPr>
        <w:t>台，共计</w:t>
      </w:r>
      <w:r>
        <w:rPr>
          <w:rFonts w:ascii="仿宋_GB2312" w:eastAsia="仿宋_GB2312"/>
          <w:sz w:val="28"/>
          <w:szCs w:val="28"/>
          <w:lang w:val="en"/>
        </w:rPr>
        <w:t>265.44</w:t>
      </w:r>
      <w:r>
        <w:rPr>
          <w:rFonts w:ascii="仿宋_GB2312" w:eastAsia="仿宋_GB2312" w:hint="eastAsia"/>
          <w:sz w:val="28"/>
          <w:szCs w:val="28"/>
        </w:rPr>
        <w:t>万元；单位价值100万元（含）以上的设备</w:t>
      </w:r>
      <w:r>
        <w:rPr>
          <w:rFonts w:ascii="仿宋_GB2312" w:eastAsia="仿宋_GB2312"/>
          <w:sz w:val="28"/>
          <w:szCs w:val="28"/>
          <w:lang w:val="en"/>
        </w:rPr>
        <w:t>0</w:t>
      </w:r>
      <w:r>
        <w:rPr>
          <w:rFonts w:ascii="仿宋_GB2312" w:eastAsia="仿宋_GB2312" w:hint="eastAsia"/>
          <w:sz w:val="28"/>
          <w:szCs w:val="28"/>
        </w:rPr>
        <w:t>台（套），共计</w:t>
      </w:r>
      <w:r>
        <w:rPr>
          <w:rFonts w:ascii="仿宋_GB2312" w:eastAsia="仿宋_GB2312"/>
          <w:sz w:val="28"/>
          <w:szCs w:val="28"/>
          <w:lang w:val="en"/>
        </w:rPr>
        <w:t>0</w:t>
      </w:r>
      <w:r>
        <w:rPr>
          <w:rFonts w:ascii="仿宋_GB2312" w:eastAsia="仿宋_GB2312" w:hint="eastAsia"/>
          <w:sz w:val="28"/>
          <w:szCs w:val="28"/>
        </w:rPr>
        <w:t>万元。</w:t>
      </w:r>
    </w:p>
    <w:p w14:paraId="52851E31" w14:textId="77777777" w:rsidR="00172E5F" w:rsidRDefault="00000000">
      <w:pPr>
        <w:spacing w:line="580" w:lineRule="exact"/>
        <w:ind w:firstLineChars="192" w:firstLine="538"/>
        <w:rPr>
          <w:rFonts w:ascii="黑体" w:eastAsia="黑体"/>
          <w:sz w:val="28"/>
          <w:szCs w:val="28"/>
        </w:rPr>
      </w:pPr>
      <w:r>
        <w:rPr>
          <w:rFonts w:ascii="黑体" w:eastAsia="黑体" w:hint="eastAsia"/>
          <w:sz w:val="28"/>
          <w:szCs w:val="28"/>
        </w:rPr>
        <w:t>五</w:t>
      </w:r>
      <w:r>
        <w:rPr>
          <w:rFonts w:ascii="黑体" w:eastAsia="黑体"/>
          <w:sz w:val="28"/>
          <w:szCs w:val="28"/>
        </w:rPr>
        <w:t>、政府购买服务</w:t>
      </w:r>
      <w:r>
        <w:rPr>
          <w:rFonts w:ascii="黑体" w:eastAsia="黑体" w:hint="eastAsia"/>
          <w:sz w:val="28"/>
          <w:szCs w:val="28"/>
        </w:rPr>
        <w:t>支出</w:t>
      </w:r>
      <w:r>
        <w:rPr>
          <w:rFonts w:ascii="黑体" w:eastAsia="黑体"/>
          <w:sz w:val="28"/>
          <w:szCs w:val="28"/>
        </w:rPr>
        <w:t>说明</w:t>
      </w:r>
    </w:p>
    <w:p w14:paraId="57E41624" w14:textId="77777777" w:rsidR="00172E5F" w:rsidRDefault="00000000">
      <w:pPr>
        <w:spacing w:line="580" w:lineRule="exact"/>
        <w:ind w:firstLineChars="192" w:firstLine="538"/>
        <w:rPr>
          <w:rFonts w:ascii="仿宋_GB2312" w:eastAsia="仿宋_GB2312"/>
          <w:sz w:val="28"/>
          <w:szCs w:val="28"/>
        </w:rPr>
      </w:pPr>
      <w:r>
        <w:rPr>
          <w:rFonts w:ascii="仿宋_GB2312" w:eastAsia="仿宋_GB2312" w:hint="eastAsia"/>
          <w:sz w:val="28"/>
          <w:szCs w:val="28"/>
        </w:rPr>
        <w:t>2023年度本部门不属于政府购买服务范围，</w:t>
      </w:r>
      <w:r>
        <w:rPr>
          <w:rFonts w:ascii="仿宋_GB2312" w:eastAsia="仿宋_GB2312"/>
          <w:sz w:val="28"/>
          <w:szCs w:val="28"/>
        </w:rPr>
        <w:t>政府购买服务决算0</w:t>
      </w:r>
      <w:r>
        <w:rPr>
          <w:rFonts w:ascii="仿宋_GB2312" w:eastAsia="仿宋_GB2312" w:hint="eastAsia"/>
          <w:sz w:val="28"/>
          <w:szCs w:val="28"/>
        </w:rPr>
        <w:t>万元。</w:t>
      </w:r>
    </w:p>
    <w:p w14:paraId="643242D6" w14:textId="77777777" w:rsidR="00172E5F" w:rsidRDefault="00000000">
      <w:pPr>
        <w:spacing w:line="580" w:lineRule="exact"/>
        <w:ind w:firstLineChars="200" w:firstLine="560"/>
        <w:jc w:val="left"/>
        <w:rPr>
          <w:rFonts w:ascii="仿宋_GB2312" w:eastAsia="仿宋_GB2312"/>
          <w:color w:val="000000"/>
          <w:sz w:val="32"/>
          <w:szCs w:val="32"/>
        </w:rPr>
      </w:pPr>
      <w:r>
        <w:rPr>
          <w:rFonts w:ascii="黑体" w:eastAsia="黑体" w:hint="eastAsia"/>
          <w:sz w:val="28"/>
          <w:szCs w:val="28"/>
        </w:rPr>
        <w:t>六、</w:t>
      </w:r>
      <w:r>
        <w:rPr>
          <w:rFonts w:ascii="黑体" w:eastAsia="黑体"/>
          <w:sz w:val="28"/>
          <w:szCs w:val="28"/>
        </w:rPr>
        <w:t>专业名词解释</w:t>
      </w:r>
    </w:p>
    <w:p w14:paraId="773AEAD3" w14:textId="77777777" w:rsidR="00172E5F" w:rsidRDefault="00000000">
      <w:pPr>
        <w:spacing w:line="580" w:lineRule="exact"/>
        <w:ind w:firstLineChars="200" w:firstLine="560"/>
        <w:rPr>
          <w:rFonts w:ascii="仿宋_GB2312" w:eastAsia="仿宋_GB2312"/>
          <w:sz w:val="28"/>
          <w:szCs w:val="28"/>
        </w:rPr>
      </w:pPr>
      <w:r>
        <w:rPr>
          <w:rFonts w:ascii="仿宋_GB2312" w:eastAsia="仿宋_GB2312" w:hint="eastAsia"/>
          <w:sz w:val="28"/>
          <w:szCs w:val="28"/>
        </w:rPr>
        <w:t>1.基本支出：指为保障机构正常运转、完成日常工作任务而发生的人员支出和公用支出。</w:t>
      </w:r>
    </w:p>
    <w:p w14:paraId="2A4F8DC0" w14:textId="77777777" w:rsidR="00172E5F" w:rsidRDefault="00000000">
      <w:pPr>
        <w:spacing w:line="580" w:lineRule="exact"/>
        <w:ind w:firstLineChars="200" w:firstLine="560"/>
        <w:rPr>
          <w:rFonts w:ascii="仿宋_GB2312" w:eastAsia="仿宋_GB2312"/>
          <w:sz w:val="28"/>
          <w:szCs w:val="28"/>
        </w:rPr>
      </w:pPr>
      <w:r>
        <w:rPr>
          <w:rFonts w:ascii="仿宋_GB2312" w:eastAsia="仿宋_GB2312" w:hint="eastAsia"/>
          <w:sz w:val="28"/>
          <w:szCs w:val="28"/>
        </w:rPr>
        <w:lastRenderedPageBreak/>
        <w:t>2.项目支出：指在基本支出之外为完成特定行政任务或事业发展目标所发生的支出。</w:t>
      </w:r>
    </w:p>
    <w:p w14:paraId="48FDC435" w14:textId="77777777" w:rsidR="00172E5F" w:rsidRDefault="00000000">
      <w:pPr>
        <w:spacing w:line="580" w:lineRule="exact"/>
        <w:ind w:firstLineChars="200" w:firstLine="560"/>
        <w:rPr>
          <w:rFonts w:ascii="仿宋_GB2312" w:eastAsia="仿宋_GB2312" w:hAnsi="宋体" w:hint="eastAsia"/>
          <w:sz w:val="28"/>
          <w:szCs w:val="28"/>
        </w:rPr>
      </w:pPr>
      <w:r>
        <w:rPr>
          <w:rFonts w:ascii="仿宋_GB2312" w:eastAsia="仿宋_GB2312" w:hint="eastAsia"/>
          <w:sz w:val="28"/>
          <w:szCs w:val="28"/>
        </w:rPr>
        <w:t>3.“三公”经费：</w:t>
      </w:r>
      <w:r>
        <w:rPr>
          <w:rFonts w:ascii="仿宋_GB2312" w:eastAsia="仿宋_GB2312" w:hAnsi="宋体" w:hint="eastAsia"/>
          <w:sz w:val="28"/>
          <w:szCs w:val="28"/>
        </w:rPr>
        <w:t>是指单位通过财政拨款资金安排的因公出国（境）费、公务用车购置及运行费和公务接待费。其中，因公出国（境）费指单位公务出国（境）的国际旅费、国外城市间交通费、住宿费、伙食费、培训费、公杂费等支出；公务用车购置及运行费指单位公务用车购置支出（含车辆购置税、牌照费）及单位按规定保留的公务用车燃料费、维修费、过路过桥费、保险费、安全奖励费等支出；公务接待费指单位按规定开支的各类公务接待（含外宾接待）支出。</w:t>
      </w:r>
    </w:p>
    <w:p w14:paraId="4A5D0DB4" w14:textId="77777777" w:rsidR="00172E5F" w:rsidRDefault="00000000">
      <w:pPr>
        <w:spacing w:line="580" w:lineRule="exact"/>
        <w:ind w:firstLineChars="200" w:firstLine="560"/>
        <w:rPr>
          <w:rFonts w:ascii="仿宋_GB2312" w:eastAsia="仿宋_GB2312" w:hAnsi="宋体" w:hint="eastAsia"/>
          <w:sz w:val="28"/>
          <w:szCs w:val="28"/>
        </w:rPr>
      </w:pPr>
      <w:r>
        <w:rPr>
          <w:rFonts w:ascii="仿宋_GB2312" w:eastAsia="仿宋_GB2312" w:hint="eastAsia"/>
          <w:sz w:val="28"/>
          <w:szCs w:val="28"/>
        </w:rPr>
        <w:t>4</w:t>
      </w:r>
      <w:r>
        <w:rPr>
          <w:rFonts w:ascii="仿宋_GB2312" w:eastAsia="仿宋_GB2312"/>
          <w:sz w:val="28"/>
          <w:szCs w:val="28"/>
        </w:rPr>
        <w:t>.</w:t>
      </w:r>
      <w:r>
        <w:rPr>
          <w:rFonts w:ascii="仿宋_GB2312" w:eastAsia="仿宋_GB2312" w:hint="eastAsia"/>
          <w:sz w:val="28"/>
          <w:szCs w:val="28"/>
        </w:rPr>
        <w:t>机关运行经费：</w:t>
      </w:r>
      <w:r>
        <w:rPr>
          <w:rFonts w:ascii="仿宋_GB2312" w:eastAsia="仿宋_GB2312" w:hAnsi="宋体" w:hint="eastAsia"/>
          <w:sz w:val="28"/>
          <w:szCs w:val="28"/>
        </w:rPr>
        <w:t>指为</w:t>
      </w:r>
      <w:r>
        <w:rPr>
          <w:rFonts w:ascii="仿宋_GB2312" w:eastAsia="仿宋_GB2312" w:hAnsi="宋体"/>
          <w:sz w:val="28"/>
          <w:szCs w:val="28"/>
        </w:rPr>
        <w:t>保障</w:t>
      </w:r>
      <w:r>
        <w:rPr>
          <w:rFonts w:ascii="仿宋_GB2312" w:eastAsia="仿宋_GB2312" w:hAnsi="宋体" w:hint="eastAsia"/>
          <w:sz w:val="28"/>
          <w:szCs w:val="28"/>
        </w:rPr>
        <w:t>行政单位（含参照公务员法管理事业单位）运行用于</w:t>
      </w:r>
      <w:r>
        <w:rPr>
          <w:rFonts w:ascii="仿宋_GB2312" w:eastAsia="仿宋_GB2312" w:hAnsi="宋体"/>
          <w:sz w:val="28"/>
          <w:szCs w:val="28"/>
        </w:rPr>
        <w:t>购买货物和服务的各项资金</w:t>
      </w:r>
      <w:r>
        <w:rPr>
          <w:rFonts w:ascii="仿宋_GB2312" w:eastAsia="仿宋_GB2312" w:hAnsi="宋体" w:hint="eastAsia"/>
          <w:sz w:val="28"/>
          <w:szCs w:val="28"/>
        </w:rPr>
        <w:t>，包括办公及印刷费、邮电费、差旅费、会议费、福利费、日常维修费、专用材料及一般设备购置费、办公用房水电费、办公用房取暖费、办公用房物业管理费、公务用车运行维护费以及其他费用。</w:t>
      </w:r>
    </w:p>
    <w:p w14:paraId="6EE3942B" w14:textId="77777777" w:rsidR="00172E5F" w:rsidRDefault="00000000">
      <w:pPr>
        <w:spacing w:line="580" w:lineRule="exact"/>
        <w:ind w:firstLineChars="150" w:firstLine="420"/>
        <w:rPr>
          <w:rFonts w:ascii="仿宋_GB2312" w:eastAsia="仿宋_GB2312"/>
          <w:sz w:val="28"/>
          <w:szCs w:val="28"/>
        </w:rPr>
      </w:pPr>
      <w:r>
        <w:rPr>
          <w:rFonts w:ascii="仿宋_GB2312" w:eastAsia="仿宋_GB2312" w:hint="eastAsia"/>
          <w:sz w:val="28"/>
          <w:szCs w:val="28"/>
        </w:rPr>
        <w:t>5</w:t>
      </w:r>
      <w:r>
        <w:rPr>
          <w:rFonts w:ascii="仿宋_GB2312" w:eastAsia="仿宋_GB2312"/>
          <w:sz w:val="28"/>
          <w:szCs w:val="28"/>
        </w:rPr>
        <w:t>.</w:t>
      </w:r>
      <w:r>
        <w:rPr>
          <w:rFonts w:ascii="仿宋_GB2312" w:eastAsia="仿宋_GB2312" w:hint="eastAsia"/>
          <w:sz w:val="28"/>
          <w:szCs w:val="28"/>
        </w:rPr>
        <w:t>政府采购</w:t>
      </w:r>
      <w:r>
        <w:rPr>
          <w:rFonts w:ascii="仿宋_GB2312" w:eastAsia="仿宋_GB2312"/>
          <w:sz w:val="28"/>
          <w:szCs w:val="28"/>
        </w:rPr>
        <w:t>：</w:t>
      </w:r>
      <w:r>
        <w:rPr>
          <w:rFonts w:ascii="仿宋_GB2312" w:eastAsia="仿宋_GB2312" w:hint="eastAsia"/>
          <w:sz w:val="28"/>
          <w:szCs w:val="28"/>
        </w:rPr>
        <w:t>指</w:t>
      </w:r>
      <w:r>
        <w:rPr>
          <w:rFonts w:ascii="仿宋_GB2312" w:eastAsia="仿宋_GB2312"/>
          <w:sz w:val="28"/>
          <w:szCs w:val="28"/>
        </w:rPr>
        <w:t>各级国家机关、事业单位和团体组织，使用</w:t>
      </w:r>
      <w:r>
        <w:rPr>
          <w:rFonts w:ascii="仿宋_GB2312" w:eastAsia="仿宋_GB2312" w:hint="eastAsia"/>
          <w:sz w:val="28"/>
          <w:szCs w:val="28"/>
        </w:rPr>
        <w:t>财政性</w:t>
      </w:r>
      <w:r>
        <w:rPr>
          <w:rFonts w:ascii="仿宋_GB2312" w:eastAsia="仿宋_GB2312"/>
          <w:sz w:val="28"/>
          <w:szCs w:val="28"/>
        </w:rPr>
        <w:t>资金采购依法制定的集中目录以内的或者采购限额标准以上的货物、工程和服务的行为</w:t>
      </w:r>
      <w:r>
        <w:rPr>
          <w:rFonts w:ascii="仿宋_GB2312" w:eastAsia="仿宋_GB2312" w:hint="eastAsia"/>
          <w:sz w:val="28"/>
          <w:szCs w:val="28"/>
        </w:rPr>
        <w:t>，</w:t>
      </w:r>
      <w:r>
        <w:rPr>
          <w:rFonts w:ascii="仿宋_GB2312" w:eastAsia="仿宋_GB2312"/>
          <w:sz w:val="28"/>
          <w:szCs w:val="28"/>
        </w:rPr>
        <w:t>是规范财政支出管理和强化预算约束的有效措施。</w:t>
      </w:r>
    </w:p>
    <w:p w14:paraId="2BB83766" w14:textId="77777777" w:rsidR="00172E5F" w:rsidRDefault="00000000">
      <w:pPr>
        <w:spacing w:line="580" w:lineRule="exact"/>
        <w:ind w:firstLineChars="150" w:firstLine="420"/>
        <w:rPr>
          <w:rFonts w:ascii="仿宋_GB2312" w:eastAsia="仿宋_GB2312"/>
          <w:sz w:val="28"/>
          <w:szCs w:val="28"/>
        </w:rPr>
      </w:pPr>
      <w:r>
        <w:rPr>
          <w:rFonts w:ascii="仿宋_GB2312" w:eastAsia="仿宋_GB2312" w:hint="eastAsia"/>
          <w:sz w:val="28"/>
          <w:szCs w:val="28"/>
        </w:rPr>
        <w:t>6</w:t>
      </w:r>
      <w:r>
        <w:rPr>
          <w:rFonts w:ascii="仿宋_GB2312" w:eastAsia="仿宋_GB2312"/>
          <w:sz w:val="28"/>
          <w:szCs w:val="28"/>
        </w:rPr>
        <w:t>.政府购买服务：</w:t>
      </w:r>
      <w:r>
        <w:rPr>
          <w:rFonts w:ascii="仿宋_GB2312" w:eastAsia="仿宋_GB2312" w:hint="eastAsia"/>
          <w:sz w:val="28"/>
          <w:szCs w:val="28"/>
        </w:rPr>
        <w:t>是指各级国家机关将属于自身职责范围且适合通过市场化方式提供的服务事项，按照政府采购方式和程序，交由符合条件的服务供应商承担，并根据服务数量和质量等因素向其支付费用的行为。</w:t>
      </w:r>
    </w:p>
    <w:p w14:paraId="55320E9B" w14:textId="77777777" w:rsidR="00172E5F" w:rsidRDefault="00000000">
      <w:pPr>
        <w:spacing w:line="580" w:lineRule="exact"/>
        <w:ind w:firstLineChars="150" w:firstLine="420"/>
        <w:rPr>
          <w:rFonts w:ascii="仿宋_GB2312" w:eastAsia="仿宋_GB2312"/>
          <w:sz w:val="28"/>
          <w:szCs w:val="28"/>
        </w:rPr>
      </w:pPr>
      <w:r>
        <w:rPr>
          <w:rFonts w:ascii="仿宋_GB2312" w:eastAsia="仿宋_GB2312"/>
          <w:sz w:val="28"/>
          <w:szCs w:val="28"/>
          <w:lang w:val="en"/>
        </w:rPr>
        <w:t>7</w:t>
      </w:r>
      <w:r>
        <w:rPr>
          <w:rFonts w:ascii="仿宋_GB2312" w:eastAsia="仿宋_GB2312" w:hint="eastAsia"/>
          <w:sz w:val="28"/>
          <w:szCs w:val="28"/>
        </w:rPr>
        <w:t>.社会保障和就业支出：反映政府在社会保障与就业方面的支出。</w:t>
      </w:r>
    </w:p>
    <w:p w14:paraId="7C67463E" w14:textId="77777777" w:rsidR="00172E5F" w:rsidRDefault="00000000">
      <w:pPr>
        <w:spacing w:line="580" w:lineRule="exact"/>
        <w:ind w:firstLineChars="150" w:firstLine="420"/>
      </w:pPr>
      <w:r>
        <w:rPr>
          <w:rFonts w:ascii="仿宋_GB2312" w:eastAsia="仿宋_GB2312"/>
          <w:sz w:val="28"/>
          <w:szCs w:val="28"/>
          <w:lang w:val="en"/>
        </w:rPr>
        <w:t>8</w:t>
      </w:r>
      <w:r>
        <w:rPr>
          <w:rFonts w:ascii="仿宋_GB2312" w:eastAsia="仿宋_GB2312" w:hint="eastAsia"/>
          <w:sz w:val="28"/>
          <w:szCs w:val="28"/>
        </w:rPr>
        <w:t>.农林水支出：反映政府农林水事务支出。</w:t>
      </w:r>
    </w:p>
    <w:p w14:paraId="20FEB4FB" w14:textId="77777777" w:rsidR="00172E5F" w:rsidRDefault="00172E5F">
      <w:pPr>
        <w:ind w:firstLineChars="200" w:firstLine="560"/>
        <w:rPr>
          <w:rFonts w:ascii="仿宋_GB2312" w:eastAsia="仿宋_GB2312"/>
          <w:sz w:val="28"/>
          <w:szCs w:val="28"/>
        </w:rPr>
      </w:pPr>
    </w:p>
    <w:p w14:paraId="6671CFC8" w14:textId="77777777" w:rsidR="00172E5F" w:rsidRDefault="00172E5F">
      <w:pPr>
        <w:rPr>
          <w:rFonts w:ascii="仿宋_GB2312" w:eastAsia="仿宋_GB2312"/>
          <w:sz w:val="28"/>
          <w:szCs w:val="28"/>
        </w:rPr>
      </w:pPr>
    </w:p>
    <w:p w14:paraId="373D1A40" w14:textId="77777777" w:rsidR="00172E5F" w:rsidRDefault="00172E5F">
      <w:pPr>
        <w:ind w:firstLineChars="200" w:firstLine="634"/>
        <w:rPr>
          <w:rFonts w:ascii="仿宋_GB2312" w:eastAsia="仿宋_GB2312"/>
          <w:b/>
          <w:color w:val="000000"/>
          <w:spacing w:val="-2"/>
          <w:sz w:val="32"/>
          <w:szCs w:val="32"/>
        </w:rPr>
      </w:pPr>
    </w:p>
    <w:p w14:paraId="3E24E6FC" w14:textId="77777777" w:rsidR="00172E5F" w:rsidRDefault="00172E5F">
      <w:pPr>
        <w:ind w:firstLineChars="200" w:firstLine="640"/>
        <w:jc w:val="center"/>
        <w:rPr>
          <w:rFonts w:ascii="黑体" w:eastAsia="黑体"/>
          <w:sz w:val="32"/>
          <w:szCs w:val="32"/>
        </w:rPr>
      </w:pPr>
    </w:p>
    <w:p w14:paraId="28BE344E" w14:textId="77777777" w:rsidR="00172E5F" w:rsidRDefault="00172E5F">
      <w:pPr>
        <w:ind w:firstLineChars="200" w:firstLine="640"/>
        <w:jc w:val="center"/>
        <w:rPr>
          <w:rFonts w:ascii="黑体" w:eastAsia="黑体"/>
          <w:sz w:val="32"/>
          <w:szCs w:val="32"/>
        </w:rPr>
      </w:pPr>
    </w:p>
    <w:p w14:paraId="23E95740" w14:textId="77777777" w:rsidR="00172E5F" w:rsidRDefault="00000000">
      <w:pPr>
        <w:ind w:firstLineChars="200" w:firstLine="640"/>
        <w:jc w:val="center"/>
        <w:rPr>
          <w:rFonts w:ascii="黑体" w:eastAsia="黑体"/>
          <w:sz w:val="32"/>
          <w:szCs w:val="32"/>
        </w:rPr>
      </w:pPr>
      <w:r>
        <w:rPr>
          <w:rFonts w:ascii="黑体" w:eastAsia="黑体" w:hint="eastAsia"/>
          <w:sz w:val="32"/>
          <w:szCs w:val="32"/>
        </w:rPr>
        <w:t>第四部分  2023年度部门绩效评价情况</w:t>
      </w:r>
    </w:p>
    <w:p w14:paraId="49C4ED98" w14:textId="77777777" w:rsidR="00172E5F" w:rsidRDefault="00172E5F">
      <w:pPr>
        <w:ind w:firstLineChars="200" w:firstLine="560"/>
        <w:rPr>
          <w:rFonts w:ascii="黑体" w:eastAsia="黑体"/>
          <w:sz w:val="28"/>
          <w:szCs w:val="28"/>
          <w:highlight w:val="yellow"/>
        </w:rPr>
      </w:pPr>
    </w:p>
    <w:p w14:paraId="22DBB4AA" w14:textId="77777777" w:rsidR="00172E5F" w:rsidRDefault="00000000">
      <w:pPr>
        <w:ind w:firstLineChars="200" w:firstLine="560"/>
        <w:rPr>
          <w:rFonts w:ascii="黑体" w:eastAsia="黑体"/>
          <w:sz w:val="28"/>
          <w:szCs w:val="28"/>
        </w:rPr>
      </w:pPr>
      <w:r>
        <w:rPr>
          <w:rFonts w:ascii="黑体" w:eastAsia="黑体" w:hint="eastAsia"/>
          <w:sz w:val="28"/>
          <w:szCs w:val="28"/>
        </w:rPr>
        <w:t>一、部门整体绩效评价报告（详见附件）</w:t>
      </w:r>
    </w:p>
    <w:p w14:paraId="61AEAC6E" w14:textId="77777777" w:rsidR="00172E5F" w:rsidRDefault="00000000">
      <w:pPr>
        <w:ind w:firstLineChars="200" w:firstLine="560"/>
        <w:rPr>
          <w:rFonts w:ascii="黑体" w:eastAsia="黑体"/>
          <w:sz w:val="28"/>
          <w:szCs w:val="28"/>
        </w:rPr>
      </w:pPr>
      <w:r>
        <w:rPr>
          <w:rFonts w:ascii="黑体" w:eastAsia="黑体" w:hint="eastAsia"/>
          <w:sz w:val="28"/>
          <w:szCs w:val="28"/>
        </w:rPr>
        <w:t>二、项目支出绩效评价报告（详见附件）</w:t>
      </w:r>
    </w:p>
    <w:p w14:paraId="0519ED87" w14:textId="77777777" w:rsidR="00172E5F" w:rsidRDefault="00000000">
      <w:pPr>
        <w:ind w:firstLineChars="200" w:firstLine="560"/>
        <w:rPr>
          <w:rFonts w:ascii="黑体" w:eastAsia="黑体"/>
          <w:sz w:val="28"/>
          <w:szCs w:val="28"/>
        </w:rPr>
      </w:pPr>
      <w:r>
        <w:rPr>
          <w:rFonts w:ascii="黑体" w:eastAsia="黑体" w:hint="eastAsia"/>
          <w:sz w:val="28"/>
          <w:szCs w:val="28"/>
        </w:rPr>
        <w:t>三</w:t>
      </w:r>
      <w:r>
        <w:rPr>
          <w:rFonts w:ascii="黑体" w:eastAsia="黑体"/>
          <w:sz w:val="28"/>
          <w:szCs w:val="28"/>
        </w:rPr>
        <w:t>、</w:t>
      </w:r>
      <w:r>
        <w:rPr>
          <w:rFonts w:ascii="黑体" w:eastAsia="黑体" w:hint="eastAsia"/>
          <w:sz w:val="28"/>
          <w:szCs w:val="28"/>
        </w:rPr>
        <w:t>项目</w:t>
      </w:r>
      <w:r>
        <w:rPr>
          <w:rFonts w:ascii="黑体" w:eastAsia="黑体"/>
          <w:sz w:val="28"/>
          <w:szCs w:val="28"/>
        </w:rPr>
        <w:t>支出绩效自评表</w:t>
      </w:r>
      <w:r>
        <w:rPr>
          <w:rFonts w:ascii="黑体" w:eastAsia="黑体" w:hint="eastAsia"/>
          <w:sz w:val="28"/>
          <w:szCs w:val="28"/>
        </w:rPr>
        <w:t>（详见附件）</w:t>
      </w:r>
    </w:p>
    <w:p w14:paraId="4EBA074B" w14:textId="77777777" w:rsidR="00172E5F" w:rsidRDefault="00000000">
      <w:r>
        <w:rPr>
          <w:rFonts w:ascii="黑体" w:eastAsia="黑体" w:hint="eastAsia"/>
          <w:sz w:val="28"/>
          <w:szCs w:val="28"/>
        </w:rPr>
        <w:t xml:space="preserve"> </w:t>
      </w:r>
    </w:p>
    <w:p w14:paraId="51B6AB60" w14:textId="77777777" w:rsidR="00172E5F" w:rsidRDefault="00172E5F">
      <w:pPr>
        <w:pStyle w:val="2"/>
      </w:pPr>
    </w:p>
    <w:p w14:paraId="67D967A0" w14:textId="77777777" w:rsidR="00172E5F" w:rsidRDefault="00172E5F"/>
    <w:sectPr w:rsidR="00172E5F">
      <w:footerReference w:type="even" r:id="rId11"/>
      <w:footerReference w:type="default" r:id="rId12"/>
      <w:pgSz w:w="16838" w:h="11906" w:orient="landscape"/>
      <w:pgMar w:top="1134" w:right="1134" w:bottom="1134" w:left="1134" w:header="851"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D620B" w14:textId="77777777" w:rsidR="00D60C9A" w:rsidRDefault="00D60C9A">
      <w:r>
        <w:separator/>
      </w:r>
    </w:p>
  </w:endnote>
  <w:endnote w:type="continuationSeparator" w:id="0">
    <w:p w14:paraId="39523795" w14:textId="77777777" w:rsidR="00D60C9A" w:rsidRDefault="00D6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altName w:val="DejaVu Sans"/>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Droid Sans">
    <w:altName w:val="微软雅黑"/>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24D42" w14:textId="77777777" w:rsidR="00172E5F" w:rsidRDefault="00000000">
    <w:pPr>
      <w:pStyle w:val="a7"/>
      <w:framePr w:wrap="around" w:vAnchor="text" w:hAnchor="margin" w:xAlign="center" w:y="1"/>
      <w:rPr>
        <w:rStyle w:val="ad"/>
      </w:rPr>
    </w:pPr>
    <w:r>
      <w:fldChar w:fldCharType="begin"/>
    </w:r>
    <w:r>
      <w:rPr>
        <w:rStyle w:val="ad"/>
      </w:rPr>
      <w:instrText xml:space="preserve">PAGE  </w:instrText>
    </w:r>
    <w:r>
      <w:fldChar w:fldCharType="separate"/>
    </w:r>
    <w:r>
      <w:rPr>
        <w:rStyle w:val="ad"/>
      </w:rPr>
      <w:t>14</w:t>
    </w:r>
    <w:r>
      <w:fldChar w:fldCharType="end"/>
    </w:r>
  </w:p>
  <w:p w14:paraId="04BA9AB9" w14:textId="77777777" w:rsidR="00172E5F" w:rsidRDefault="00172E5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305278" w14:textId="77777777" w:rsidR="00172E5F" w:rsidRDefault="00000000">
    <w:pPr>
      <w:pStyle w:val="a7"/>
      <w:framePr w:wrap="around" w:vAnchor="text" w:hAnchor="margin" w:xAlign="center" w:y="1"/>
      <w:rPr>
        <w:rStyle w:val="ad"/>
      </w:rPr>
    </w:pPr>
    <w:r>
      <w:fldChar w:fldCharType="begin"/>
    </w:r>
    <w:r>
      <w:rPr>
        <w:rStyle w:val="ad"/>
      </w:rPr>
      <w:instrText xml:space="preserve">PAGE  </w:instrText>
    </w:r>
    <w:r>
      <w:fldChar w:fldCharType="separate"/>
    </w:r>
    <w:r>
      <w:rPr>
        <w:rStyle w:val="ad"/>
      </w:rPr>
      <w:t>15</w:t>
    </w:r>
    <w:r>
      <w:fldChar w:fldCharType="end"/>
    </w:r>
  </w:p>
  <w:p w14:paraId="73D8A7CC" w14:textId="77777777" w:rsidR="00172E5F" w:rsidRDefault="00172E5F">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C82EC1" w14:textId="77777777" w:rsidR="00172E5F" w:rsidRDefault="00000000">
    <w:pPr>
      <w:pStyle w:val="a7"/>
      <w:framePr w:wrap="around" w:vAnchor="text" w:hAnchor="margin" w:xAlign="center" w:y="1"/>
      <w:rPr>
        <w:rStyle w:val="ad"/>
      </w:rPr>
    </w:pPr>
    <w:r>
      <w:fldChar w:fldCharType="begin"/>
    </w:r>
    <w:r>
      <w:rPr>
        <w:rStyle w:val="ad"/>
      </w:rPr>
      <w:instrText xml:space="preserve">PAGE  </w:instrText>
    </w:r>
    <w:r>
      <w:fldChar w:fldCharType="separate"/>
    </w:r>
    <w:r>
      <w:rPr>
        <w:rStyle w:val="ad"/>
      </w:rPr>
      <w:t>23</w:t>
    </w:r>
    <w:r>
      <w:fldChar w:fldCharType="end"/>
    </w:r>
  </w:p>
  <w:p w14:paraId="61B694E7" w14:textId="77777777" w:rsidR="00172E5F" w:rsidRDefault="00172E5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572EF7" w14:textId="77777777" w:rsidR="00D60C9A" w:rsidRDefault="00D60C9A">
      <w:r>
        <w:separator/>
      </w:r>
    </w:p>
  </w:footnote>
  <w:footnote w:type="continuationSeparator" w:id="0">
    <w:p w14:paraId="712CDF9A" w14:textId="77777777" w:rsidR="00D60C9A" w:rsidRDefault="00D60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7BF5BBC"/>
    <w:multiLevelType w:val="singleLevel"/>
    <w:tmpl w:val="F7BF5BBC"/>
    <w:lvl w:ilvl="0">
      <w:start w:val="2"/>
      <w:numFmt w:val="chineseCounting"/>
      <w:suff w:val="nothing"/>
      <w:lvlText w:val="（%1）"/>
      <w:lvlJc w:val="left"/>
      <w:rPr>
        <w:rFonts w:hint="eastAsia"/>
      </w:rPr>
    </w:lvl>
  </w:abstractNum>
  <w:num w:numId="1" w16cid:durableId="458651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FhMDlmODM4NDM3ZTUzZTJhOWRjZWIxNmVkMjQxNTMifQ=="/>
  </w:docVars>
  <w:rsids>
    <w:rsidRoot w:val="00100246"/>
    <w:rsid w:val="95F35EF6"/>
    <w:rsid w:val="95FFAD39"/>
    <w:rsid w:val="9BFFD860"/>
    <w:rsid w:val="AAD83006"/>
    <w:rsid w:val="AC5F73DE"/>
    <w:rsid w:val="B5DDD2C8"/>
    <w:rsid w:val="B8EE2EC4"/>
    <w:rsid w:val="B9DFABD9"/>
    <w:rsid w:val="BBF1082E"/>
    <w:rsid w:val="BBF5C3A8"/>
    <w:rsid w:val="BC0D83FC"/>
    <w:rsid w:val="BDFF469A"/>
    <w:rsid w:val="BF3BDEFB"/>
    <w:rsid w:val="BFEF412D"/>
    <w:rsid w:val="BFFAEF87"/>
    <w:rsid w:val="C75F6086"/>
    <w:rsid w:val="C7F7ED2D"/>
    <w:rsid w:val="CFAF854E"/>
    <w:rsid w:val="D6FD6566"/>
    <w:rsid w:val="D8D7928E"/>
    <w:rsid w:val="D8FE3136"/>
    <w:rsid w:val="DDDE60B7"/>
    <w:rsid w:val="DE9F6A22"/>
    <w:rsid w:val="DEFE8664"/>
    <w:rsid w:val="DF4FCE6A"/>
    <w:rsid w:val="E4FED278"/>
    <w:rsid w:val="EDAA365C"/>
    <w:rsid w:val="EDADFC12"/>
    <w:rsid w:val="EFF4E9B7"/>
    <w:rsid w:val="F2FD229B"/>
    <w:rsid w:val="F7F709E9"/>
    <w:rsid w:val="F7FF3690"/>
    <w:rsid w:val="F9BD3900"/>
    <w:rsid w:val="FAFABD56"/>
    <w:rsid w:val="FB2DE5D2"/>
    <w:rsid w:val="FBA335CB"/>
    <w:rsid w:val="FC73CB45"/>
    <w:rsid w:val="FC8B9876"/>
    <w:rsid w:val="FEBBF392"/>
    <w:rsid w:val="FEBE2DEA"/>
    <w:rsid w:val="FEDFF218"/>
    <w:rsid w:val="FEDFFFFF"/>
    <w:rsid w:val="FF5EA9D0"/>
    <w:rsid w:val="FF9D55F0"/>
    <w:rsid w:val="FFF9C9E4"/>
    <w:rsid w:val="FFFF9121"/>
    <w:rsid w:val="00003B03"/>
    <w:rsid w:val="000040E6"/>
    <w:rsid w:val="00011D72"/>
    <w:rsid w:val="00020634"/>
    <w:rsid w:val="00027CD5"/>
    <w:rsid w:val="00031B8E"/>
    <w:rsid w:val="00033EC1"/>
    <w:rsid w:val="00034224"/>
    <w:rsid w:val="00040275"/>
    <w:rsid w:val="0004719C"/>
    <w:rsid w:val="00047F6E"/>
    <w:rsid w:val="00051B00"/>
    <w:rsid w:val="000601B1"/>
    <w:rsid w:val="00063034"/>
    <w:rsid w:val="00066E19"/>
    <w:rsid w:val="0006752F"/>
    <w:rsid w:val="00071797"/>
    <w:rsid w:val="00071860"/>
    <w:rsid w:val="0007258E"/>
    <w:rsid w:val="00077A9E"/>
    <w:rsid w:val="00077F4A"/>
    <w:rsid w:val="00077FE5"/>
    <w:rsid w:val="00080447"/>
    <w:rsid w:val="00085663"/>
    <w:rsid w:val="00095948"/>
    <w:rsid w:val="00095C26"/>
    <w:rsid w:val="00096504"/>
    <w:rsid w:val="00096B86"/>
    <w:rsid w:val="000A1770"/>
    <w:rsid w:val="000A283C"/>
    <w:rsid w:val="000B15B7"/>
    <w:rsid w:val="000B70F1"/>
    <w:rsid w:val="000C4611"/>
    <w:rsid w:val="000D1B61"/>
    <w:rsid w:val="000D6854"/>
    <w:rsid w:val="000E0B26"/>
    <w:rsid w:val="000E3291"/>
    <w:rsid w:val="000F08FE"/>
    <w:rsid w:val="000F208B"/>
    <w:rsid w:val="000F2A48"/>
    <w:rsid w:val="000F49BE"/>
    <w:rsid w:val="00100246"/>
    <w:rsid w:val="0010682D"/>
    <w:rsid w:val="001073C6"/>
    <w:rsid w:val="00107DB5"/>
    <w:rsid w:val="00113613"/>
    <w:rsid w:val="0011483D"/>
    <w:rsid w:val="00115724"/>
    <w:rsid w:val="00130995"/>
    <w:rsid w:val="00131FF9"/>
    <w:rsid w:val="00132320"/>
    <w:rsid w:val="00135B6A"/>
    <w:rsid w:val="001369A7"/>
    <w:rsid w:val="001428C5"/>
    <w:rsid w:val="001503D8"/>
    <w:rsid w:val="00157540"/>
    <w:rsid w:val="0017111F"/>
    <w:rsid w:val="00172E5F"/>
    <w:rsid w:val="00173CF6"/>
    <w:rsid w:val="00180DAD"/>
    <w:rsid w:val="0018370E"/>
    <w:rsid w:val="001852E1"/>
    <w:rsid w:val="00191568"/>
    <w:rsid w:val="001A4277"/>
    <w:rsid w:val="001A7D2E"/>
    <w:rsid w:val="001B1DF9"/>
    <w:rsid w:val="001B1E93"/>
    <w:rsid w:val="001B375E"/>
    <w:rsid w:val="001B4A46"/>
    <w:rsid w:val="001B5E87"/>
    <w:rsid w:val="001B5E91"/>
    <w:rsid w:val="001B69BF"/>
    <w:rsid w:val="001B7988"/>
    <w:rsid w:val="001D78D9"/>
    <w:rsid w:val="001E0556"/>
    <w:rsid w:val="001E2355"/>
    <w:rsid w:val="001E2379"/>
    <w:rsid w:val="001E29A9"/>
    <w:rsid w:val="001F5857"/>
    <w:rsid w:val="00206EC3"/>
    <w:rsid w:val="0021047C"/>
    <w:rsid w:val="00211E4E"/>
    <w:rsid w:val="00213D1C"/>
    <w:rsid w:val="00214C3A"/>
    <w:rsid w:val="00217517"/>
    <w:rsid w:val="00222628"/>
    <w:rsid w:val="002253CB"/>
    <w:rsid w:val="002326DE"/>
    <w:rsid w:val="00234314"/>
    <w:rsid w:val="00241724"/>
    <w:rsid w:val="0024390C"/>
    <w:rsid w:val="002441F4"/>
    <w:rsid w:val="00244204"/>
    <w:rsid w:val="002448A4"/>
    <w:rsid w:val="00245A0A"/>
    <w:rsid w:val="00246C42"/>
    <w:rsid w:val="002515CC"/>
    <w:rsid w:val="00253EC4"/>
    <w:rsid w:val="00254515"/>
    <w:rsid w:val="00256539"/>
    <w:rsid w:val="0026479D"/>
    <w:rsid w:val="002673C4"/>
    <w:rsid w:val="0027112B"/>
    <w:rsid w:val="00271C3F"/>
    <w:rsid w:val="00272460"/>
    <w:rsid w:val="00273070"/>
    <w:rsid w:val="0027394A"/>
    <w:rsid w:val="00274D50"/>
    <w:rsid w:val="002760D5"/>
    <w:rsid w:val="00276289"/>
    <w:rsid w:val="0028081D"/>
    <w:rsid w:val="0028458C"/>
    <w:rsid w:val="002911BD"/>
    <w:rsid w:val="00291C98"/>
    <w:rsid w:val="00294DE9"/>
    <w:rsid w:val="002A1488"/>
    <w:rsid w:val="002A4C2B"/>
    <w:rsid w:val="002B19D0"/>
    <w:rsid w:val="002B3682"/>
    <w:rsid w:val="002B5464"/>
    <w:rsid w:val="002C0443"/>
    <w:rsid w:val="002C12FB"/>
    <w:rsid w:val="002C24BC"/>
    <w:rsid w:val="002D03C6"/>
    <w:rsid w:val="002D0FDF"/>
    <w:rsid w:val="002D3955"/>
    <w:rsid w:val="002D68A9"/>
    <w:rsid w:val="002E06AE"/>
    <w:rsid w:val="002E4B75"/>
    <w:rsid w:val="002E68DD"/>
    <w:rsid w:val="002F17C2"/>
    <w:rsid w:val="002F32EE"/>
    <w:rsid w:val="002F4054"/>
    <w:rsid w:val="002F5574"/>
    <w:rsid w:val="00301D20"/>
    <w:rsid w:val="00302947"/>
    <w:rsid w:val="00302B19"/>
    <w:rsid w:val="00303428"/>
    <w:rsid w:val="003053C4"/>
    <w:rsid w:val="003058A3"/>
    <w:rsid w:val="00307DA5"/>
    <w:rsid w:val="0031169D"/>
    <w:rsid w:val="0031170D"/>
    <w:rsid w:val="00313E14"/>
    <w:rsid w:val="003167DD"/>
    <w:rsid w:val="00320C8B"/>
    <w:rsid w:val="00321BD8"/>
    <w:rsid w:val="00325687"/>
    <w:rsid w:val="00332C14"/>
    <w:rsid w:val="00335079"/>
    <w:rsid w:val="003352CE"/>
    <w:rsid w:val="00341D8E"/>
    <w:rsid w:val="003502B9"/>
    <w:rsid w:val="00351B8F"/>
    <w:rsid w:val="00353226"/>
    <w:rsid w:val="00353717"/>
    <w:rsid w:val="00354630"/>
    <w:rsid w:val="003629A8"/>
    <w:rsid w:val="00365A24"/>
    <w:rsid w:val="003712DB"/>
    <w:rsid w:val="00373DDC"/>
    <w:rsid w:val="00382A86"/>
    <w:rsid w:val="00383BCC"/>
    <w:rsid w:val="00385243"/>
    <w:rsid w:val="003925D4"/>
    <w:rsid w:val="0039318C"/>
    <w:rsid w:val="00393366"/>
    <w:rsid w:val="003937DC"/>
    <w:rsid w:val="00393D75"/>
    <w:rsid w:val="003A2F2D"/>
    <w:rsid w:val="003A43AC"/>
    <w:rsid w:val="003A4EB6"/>
    <w:rsid w:val="003A7AE9"/>
    <w:rsid w:val="003A7BC5"/>
    <w:rsid w:val="003A7FF5"/>
    <w:rsid w:val="003B0352"/>
    <w:rsid w:val="003B4437"/>
    <w:rsid w:val="003B48C4"/>
    <w:rsid w:val="003B5E20"/>
    <w:rsid w:val="003B6DAD"/>
    <w:rsid w:val="003B735F"/>
    <w:rsid w:val="003C030C"/>
    <w:rsid w:val="003C55FC"/>
    <w:rsid w:val="003D0EC3"/>
    <w:rsid w:val="003D7274"/>
    <w:rsid w:val="003E4D82"/>
    <w:rsid w:val="003E5BC1"/>
    <w:rsid w:val="003F0D1B"/>
    <w:rsid w:val="003F1C8F"/>
    <w:rsid w:val="003F1DD6"/>
    <w:rsid w:val="003F34D2"/>
    <w:rsid w:val="00401087"/>
    <w:rsid w:val="00402E26"/>
    <w:rsid w:val="00405701"/>
    <w:rsid w:val="004110BC"/>
    <w:rsid w:val="0041271F"/>
    <w:rsid w:val="0041688E"/>
    <w:rsid w:val="004170EF"/>
    <w:rsid w:val="0042093C"/>
    <w:rsid w:val="004233DD"/>
    <w:rsid w:val="00424405"/>
    <w:rsid w:val="00425B25"/>
    <w:rsid w:val="00425D24"/>
    <w:rsid w:val="00426A4D"/>
    <w:rsid w:val="00427687"/>
    <w:rsid w:val="00433231"/>
    <w:rsid w:val="004334CA"/>
    <w:rsid w:val="0043506A"/>
    <w:rsid w:val="00435830"/>
    <w:rsid w:val="0043619C"/>
    <w:rsid w:val="0044475D"/>
    <w:rsid w:val="00444D1E"/>
    <w:rsid w:val="0044571A"/>
    <w:rsid w:val="0044705D"/>
    <w:rsid w:val="0045090E"/>
    <w:rsid w:val="00453E36"/>
    <w:rsid w:val="00457286"/>
    <w:rsid w:val="00461FA5"/>
    <w:rsid w:val="00463566"/>
    <w:rsid w:val="00464182"/>
    <w:rsid w:val="00471C52"/>
    <w:rsid w:val="0047460C"/>
    <w:rsid w:val="00474FF2"/>
    <w:rsid w:val="00480098"/>
    <w:rsid w:val="00484A93"/>
    <w:rsid w:val="00485E12"/>
    <w:rsid w:val="004865DA"/>
    <w:rsid w:val="0048779C"/>
    <w:rsid w:val="00487AB7"/>
    <w:rsid w:val="00487ED0"/>
    <w:rsid w:val="00491D09"/>
    <w:rsid w:val="0049682C"/>
    <w:rsid w:val="004A168E"/>
    <w:rsid w:val="004A4EC7"/>
    <w:rsid w:val="004B0003"/>
    <w:rsid w:val="004C020A"/>
    <w:rsid w:val="004C03A3"/>
    <w:rsid w:val="004C44B8"/>
    <w:rsid w:val="004C7629"/>
    <w:rsid w:val="004D0D5D"/>
    <w:rsid w:val="004E27DD"/>
    <w:rsid w:val="004E3350"/>
    <w:rsid w:val="004E5292"/>
    <w:rsid w:val="004F2C5B"/>
    <w:rsid w:val="004F641B"/>
    <w:rsid w:val="004F71F3"/>
    <w:rsid w:val="005052FA"/>
    <w:rsid w:val="005069E1"/>
    <w:rsid w:val="00507E59"/>
    <w:rsid w:val="005122B5"/>
    <w:rsid w:val="0052381C"/>
    <w:rsid w:val="005346B3"/>
    <w:rsid w:val="0054051C"/>
    <w:rsid w:val="00546A84"/>
    <w:rsid w:val="00547BE2"/>
    <w:rsid w:val="0055353D"/>
    <w:rsid w:val="0056187C"/>
    <w:rsid w:val="00576B03"/>
    <w:rsid w:val="00581E1A"/>
    <w:rsid w:val="00591655"/>
    <w:rsid w:val="00591BEC"/>
    <w:rsid w:val="005940EA"/>
    <w:rsid w:val="00594448"/>
    <w:rsid w:val="005A1D6F"/>
    <w:rsid w:val="005A4D82"/>
    <w:rsid w:val="005A52A6"/>
    <w:rsid w:val="005B0DEC"/>
    <w:rsid w:val="005B368E"/>
    <w:rsid w:val="005B6E69"/>
    <w:rsid w:val="005C0015"/>
    <w:rsid w:val="005C1E82"/>
    <w:rsid w:val="005C2BCE"/>
    <w:rsid w:val="005C2CA5"/>
    <w:rsid w:val="005C7062"/>
    <w:rsid w:val="005C7788"/>
    <w:rsid w:val="005D10B9"/>
    <w:rsid w:val="005D18DA"/>
    <w:rsid w:val="005D7A95"/>
    <w:rsid w:val="005E00DC"/>
    <w:rsid w:val="005E3BBC"/>
    <w:rsid w:val="005E3EC6"/>
    <w:rsid w:val="005E4E07"/>
    <w:rsid w:val="005E4E46"/>
    <w:rsid w:val="005E5275"/>
    <w:rsid w:val="005E7DC8"/>
    <w:rsid w:val="005E7EC9"/>
    <w:rsid w:val="005F7087"/>
    <w:rsid w:val="006067D3"/>
    <w:rsid w:val="00611BE4"/>
    <w:rsid w:val="0061219B"/>
    <w:rsid w:val="00621419"/>
    <w:rsid w:val="00626446"/>
    <w:rsid w:val="00626BE8"/>
    <w:rsid w:val="00631827"/>
    <w:rsid w:val="00632804"/>
    <w:rsid w:val="006376DA"/>
    <w:rsid w:val="006459DA"/>
    <w:rsid w:val="006502E8"/>
    <w:rsid w:val="00651277"/>
    <w:rsid w:val="00654A2B"/>
    <w:rsid w:val="0065675C"/>
    <w:rsid w:val="0065793F"/>
    <w:rsid w:val="0066263B"/>
    <w:rsid w:val="0066713A"/>
    <w:rsid w:val="0067195C"/>
    <w:rsid w:val="006724F7"/>
    <w:rsid w:val="0067511A"/>
    <w:rsid w:val="0067539B"/>
    <w:rsid w:val="00675543"/>
    <w:rsid w:val="00677396"/>
    <w:rsid w:val="00677AD9"/>
    <w:rsid w:val="0068120B"/>
    <w:rsid w:val="00681970"/>
    <w:rsid w:val="00690641"/>
    <w:rsid w:val="00690D88"/>
    <w:rsid w:val="00691844"/>
    <w:rsid w:val="00693DDF"/>
    <w:rsid w:val="00696F9E"/>
    <w:rsid w:val="006A374A"/>
    <w:rsid w:val="006A505E"/>
    <w:rsid w:val="006A513E"/>
    <w:rsid w:val="006A5265"/>
    <w:rsid w:val="006B0CB9"/>
    <w:rsid w:val="006B2609"/>
    <w:rsid w:val="006B2750"/>
    <w:rsid w:val="006B3678"/>
    <w:rsid w:val="006B7390"/>
    <w:rsid w:val="006C0084"/>
    <w:rsid w:val="006C107D"/>
    <w:rsid w:val="006C3600"/>
    <w:rsid w:val="006C4534"/>
    <w:rsid w:val="006C5205"/>
    <w:rsid w:val="006C75F6"/>
    <w:rsid w:val="006D3F53"/>
    <w:rsid w:val="006D60AF"/>
    <w:rsid w:val="006E4722"/>
    <w:rsid w:val="00701651"/>
    <w:rsid w:val="007049BF"/>
    <w:rsid w:val="00704E79"/>
    <w:rsid w:val="00707A26"/>
    <w:rsid w:val="0071120F"/>
    <w:rsid w:val="007116FB"/>
    <w:rsid w:val="00716380"/>
    <w:rsid w:val="00722165"/>
    <w:rsid w:val="00724B1C"/>
    <w:rsid w:val="007428F0"/>
    <w:rsid w:val="007512EF"/>
    <w:rsid w:val="007551AC"/>
    <w:rsid w:val="0076101C"/>
    <w:rsid w:val="00763D87"/>
    <w:rsid w:val="007670B2"/>
    <w:rsid w:val="00771795"/>
    <w:rsid w:val="00774925"/>
    <w:rsid w:val="0079279F"/>
    <w:rsid w:val="00793E69"/>
    <w:rsid w:val="007A063C"/>
    <w:rsid w:val="007A16B0"/>
    <w:rsid w:val="007A19EA"/>
    <w:rsid w:val="007A6092"/>
    <w:rsid w:val="007A60B7"/>
    <w:rsid w:val="007A64A6"/>
    <w:rsid w:val="007A6EE1"/>
    <w:rsid w:val="007A7C89"/>
    <w:rsid w:val="007B1487"/>
    <w:rsid w:val="007B2A43"/>
    <w:rsid w:val="007B326F"/>
    <w:rsid w:val="007B6A58"/>
    <w:rsid w:val="007B6C06"/>
    <w:rsid w:val="007B7B78"/>
    <w:rsid w:val="007C32B1"/>
    <w:rsid w:val="007C7A22"/>
    <w:rsid w:val="007C7C62"/>
    <w:rsid w:val="007D1076"/>
    <w:rsid w:val="007D12B7"/>
    <w:rsid w:val="007D2A49"/>
    <w:rsid w:val="007D5E38"/>
    <w:rsid w:val="007D7AC4"/>
    <w:rsid w:val="007E0340"/>
    <w:rsid w:val="007E1D4A"/>
    <w:rsid w:val="007E53C0"/>
    <w:rsid w:val="007E7703"/>
    <w:rsid w:val="007F1FF3"/>
    <w:rsid w:val="007F4558"/>
    <w:rsid w:val="007F64DF"/>
    <w:rsid w:val="008050EF"/>
    <w:rsid w:val="0080652C"/>
    <w:rsid w:val="0080715F"/>
    <w:rsid w:val="008113D6"/>
    <w:rsid w:val="00812BA7"/>
    <w:rsid w:val="00813A87"/>
    <w:rsid w:val="00813F63"/>
    <w:rsid w:val="0081520F"/>
    <w:rsid w:val="00815F57"/>
    <w:rsid w:val="0081760B"/>
    <w:rsid w:val="008218AC"/>
    <w:rsid w:val="00825359"/>
    <w:rsid w:val="00825E13"/>
    <w:rsid w:val="00826F07"/>
    <w:rsid w:val="008337CB"/>
    <w:rsid w:val="00834A3C"/>
    <w:rsid w:val="008360A0"/>
    <w:rsid w:val="00837658"/>
    <w:rsid w:val="00837CD4"/>
    <w:rsid w:val="00837F78"/>
    <w:rsid w:val="008400EE"/>
    <w:rsid w:val="00840791"/>
    <w:rsid w:val="00845576"/>
    <w:rsid w:val="00850708"/>
    <w:rsid w:val="00851024"/>
    <w:rsid w:val="008526D7"/>
    <w:rsid w:val="0086238C"/>
    <w:rsid w:val="008655DC"/>
    <w:rsid w:val="0086732D"/>
    <w:rsid w:val="00870183"/>
    <w:rsid w:val="00875726"/>
    <w:rsid w:val="008758AD"/>
    <w:rsid w:val="00877F10"/>
    <w:rsid w:val="0088225D"/>
    <w:rsid w:val="00882F8D"/>
    <w:rsid w:val="00884FB0"/>
    <w:rsid w:val="008853A5"/>
    <w:rsid w:val="008944DA"/>
    <w:rsid w:val="00894D78"/>
    <w:rsid w:val="008A6A18"/>
    <w:rsid w:val="008B033F"/>
    <w:rsid w:val="008B4003"/>
    <w:rsid w:val="008B7443"/>
    <w:rsid w:val="008C179E"/>
    <w:rsid w:val="008C2379"/>
    <w:rsid w:val="008C4FF7"/>
    <w:rsid w:val="008C5C4C"/>
    <w:rsid w:val="008C7056"/>
    <w:rsid w:val="008C706D"/>
    <w:rsid w:val="008D3145"/>
    <w:rsid w:val="008E1A54"/>
    <w:rsid w:val="008E1F95"/>
    <w:rsid w:val="008E36B6"/>
    <w:rsid w:val="008E4267"/>
    <w:rsid w:val="008E4847"/>
    <w:rsid w:val="008E5FF1"/>
    <w:rsid w:val="008E63D2"/>
    <w:rsid w:val="008E6E14"/>
    <w:rsid w:val="008F1528"/>
    <w:rsid w:val="008F1AE5"/>
    <w:rsid w:val="008F55D9"/>
    <w:rsid w:val="009057DE"/>
    <w:rsid w:val="00905F97"/>
    <w:rsid w:val="00906FA3"/>
    <w:rsid w:val="0091239D"/>
    <w:rsid w:val="00912825"/>
    <w:rsid w:val="009129B8"/>
    <w:rsid w:val="00912B99"/>
    <w:rsid w:val="00912C78"/>
    <w:rsid w:val="00927892"/>
    <w:rsid w:val="009319B9"/>
    <w:rsid w:val="009351E9"/>
    <w:rsid w:val="00937862"/>
    <w:rsid w:val="00942279"/>
    <w:rsid w:val="009524EB"/>
    <w:rsid w:val="0096114C"/>
    <w:rsid w:val="00962013"/>
    <w:rsid w:val="00963942"/>
    <w:rsid w:val="0096716C"/>
    <w:rsid w:val="009672B2"/>
    <w:rsid w:val="00971C66"/>
    <w:rsid w:val="00972363"/>
    <w:rsid w:val="0098419C"/>
    <w:rsid w:val="009843EF"/>
    <w:rsid w:val="009867F2"/>
    <w:rsid w:val="00991347"/>
    <w:rsid w:val="00996018"/>
    <w:rsid w:val="0099738E"/>
    <w:rsid w:val="009A493E"/>
    <w:rsid w:val="009A531F"/>
    <w:rsid w:val="009A6931"/>
    <w:rsid w:val="009B1F9A"/>
    <w:rsid w:val="009B1FA9"/>
    <w:rsid w:val="009B349F"/>
    <w:rsid w:val="009B4293"/>
    <w:rsid w:val="009B6715"/>
    <w:rsid w:val="009C7B74"/>
    <w:rsid w:val="009D0BE2"/>
    <w:rsid w:val="009D114E"/>
    <w:rsid w:val="009D210F"/>
    <w:rsid w:val="009D309C"/>
    <w:rsid w:val="009D37B1"/>
    <w:rsid w:val="009D4717"/>
    <w:rsid w:val="009D694D"/>
    <w:rsid w:val="009E264E"/>
    <w:rsid w:val="009F0C98"/>
    <w:rsid w:val="009F0F81"/>
    <w:rsid w:val="009F2543"/>
    <w:rsid w:val="009F256D"/>
    <w:rsid w:val="009F341E"/>
    <w:rsid w:val="009F57CE"/>
    <w:rsid w:val="00A117CA"/>
    <w:rsid w:val="00A12225"/>
    <w:rsid w:val="00A14C18"/>
    <w:rsid w:val="00A25898"/>
    <w:rsid w:val="00A3071D"/>
    <w:rsid w:val="00A3182E"/>
    <w:rsid w:val="00A31A89"/>
    <w:rsid w:val="00A32F06"/>
    <w:rsid w:val="00A34934"/>
    <w:rsid w:val="00A34EFE"/>
    <w:rsid w:val="00A36546"/>
    <w:rsid w:val="00A4069C"/>
    <w:rsid w:val="00A413B5"/>
    <w:rsid w:val="00A429CB"/>
    <w:rsid w:val="00A44E87"/>
    <w:rsid w:val="00A5063C"/>
    <w:rsid w:val="00A52749"/>
    <w:rsid w:val="00A5422E"/>
    <w:rsid w:val="00A56EC1"/>
    <w:rsid w:val="00A6350C"/>
    <w:rsid w:val="00A6370B"/>
    <w:rsid w:val="00A63A73"/>
    <w:rsid w:val="00A6655C"/>
    <w:rsid w:val="00A66CBB"/>
    <w:rsid w:val="00A6704E"/>
    <w:rsid w:val="00A67EA4"/>
    <w:rsid w:val="00A773FF"/>
    <w:rsid w:val="00A8048C"/>
    <w:rsid w:val="00A83AA1"/>
    <w:rsid w:val="00A9343A"/>
    <w:rsid w:val="00A9706C"/>
    <w:rsid w:val="00A97B34"/>
    <w:rsid w:val="00AA1B5C"/>
    <w:rsid w:val="00AA7A27"/>
    <w:rsid w:val="00AB3FB0"/>
    <w:rsid w:val="00AB465D"/>
    <w:rsid w:val="00AB713D"/>
    <w:rsid w:val="00AC114C"/>
    <w:rsid w:val="00AC1478"/>
    <w:rsid w:val="00AC2476"/>
    <w:rsid w:val="00AC6C2D"/>
    <w:rsid w:val="00AC6E17"/>
    <w:rsid w:val="00AD2FF3"/>
    <w:rsid w:val="00AD7764"/>
    <w:rsid w:val="00AD7FE2"/>
    <w:rsid w:val="00AE1284"/>
    <w:rsid w:val="00AE1B18"/>
    <w:rsid w:val="00AE7339"/>
    <w:rsid w:val="00AF1B0B"/>
    <w:rsid w:val="00AF242C"/>
    <w:rsid w:val="00AF3CC4"/>
    <w:rsid w:val="00AF4456"/>
    <w:rsid w:val="00B05903"/>
    <w:rsid w:val="00B12C7A"/>
    <w:rsid w:val="00B12E10"/>
    <w:rsid w:val="00B22BC3"/>
    <w:rsid w:val="00B25865"/>
    <w:rsid w:val="00B272B6"/>
    <w:rsid w:val="00B2771B"/>
    <w:rsid w:val="00B336E9"/>
    <w:rsid w:val="00B33AE5"/>
    <w:rsid w:val="00B35BE5"/>
    <w:rsid w:val="00B46965"/>
    <w:rsid w:val="00B54ED0"/>
    <w:rsid w:val="00B55D47"/>
    <w:rsid w:val="00B6204E"/>
    <w:rsid w:val="00B649EC"/>
    <w:rsid w:val="00B728DD"/>
    <w:rsid w:val="00B72D43"/>
    <w:rsid w:val="00B74121"/>
    <w:rsid w:val="00B80ABA"/>
    <w:rsid w:val="00B82F95"/>
    <w:rsid w:val="00B859FF"/>
    <w:rsid w:val="00B85C1B"/>
    <w:rsid w:val="00B85FF0"/>
    <w:rsid w:val="00B86150"/>
    <w:rsid w:val="00B878F9"/>
    <w:rsid w:val="00B9044A"/>
    <w:rsid w:val="00B960F3"/>
    <w:rsid w:val="00B96A31"/>
    <w:rsid w:val="00BA05E6"/>
    <w:rsid w:val="00BA51B0"/>
    <w:rsid w:val="00BA6319"/>
    <w:rsid w:val="00BC03B0"/>
    <w:rsid w:val="00BC06A3"/>
    <w:rsid w:val="00BC0CEA"/>
    <w:rsid w:val="00BC2220"/>
    <w:rsid w:val="00BC26B9"/>
    <w:rsid w:val="00BC26FA"/>
    <w:rsid w:val="00BC4E01"/>
    <w:rsid w:val="00BC73F6"/>
    <w:rsid w:val="00BD1177"/>
    <w:rsid w:val="00BD1374"/>
    <w:rsid w:val="00BD3531"/>
    <w:rsid w:val="00BD4E35"/>
    <w:rsid w:val="00BE34CA"/>
    <w:rsid w:val="00BF116A"/>
    <w:rsid w:val="00C023AB"/>
    <w:rsid w:val="00C0623C"/>
    <w:rsid w:val="00C06A07"/>
    <w:rsid w:val="00C132B6"/>
    <w:rsid w:val="00C21A6C"/>
    <w:rsid w:val="00C24A10"/>
    <w:rsid w:val="00C27003"/>
    <w:rsid w:val="00C27597"/>
    <w:rsid w:val="00C32BD4"/>
    <w:rsid w:val="00C33E48"/>
    <w:rsid w:val="00C3618B"/>
    <w:rsid w:val="00C403FB"/>
    <w:rsid w:val="00C4316E"/>
    <w:rsid w:val="00C441A2"/>
    <w:rsid w:val="00C5076B"/>
    <w:rsid w:val="00C512D4"/>
    <w:rsid w:val="00C51CF4"/>
    <w:rsid w:val="00C531E2"/>
    <w:rsid w:val="00C53204"/>
    <w:rsid w:val="00C57E34"/>
    <w:rsid w:val="00C64659"/>
    <w:rsid w:val="00C662E9"/>
    <w:rsid w:val="00C66C2D"/>
    <w:rsid w:val="00C7190B"/>
    <w:rsid w:val="00C76852"/>
    <w:rsid w:val="00C77210"/>
    <w:rsid w:val="00C777FA"/>
    <w:rsid w:val="00C77989"/>
    <w:rsid w:val="00C811F4"/>
    <w:rsid w:val="00C81E51"/>
    <w:rsid w:val="00C87B73"/>
    <w:rsid w:val="00C92444"/>
    <w:rsid w:val="00C92FBB"/>
    <w:rsid w:val="00C93327"/>
    <w:rsid w:val="00C97B4D"/>
    <w:rsid w:val="00CA5602"/>
    <w:rsid w:val="00CA5CA9"/>
    <w:rsid w:val="00CA78E2"/>
    <w:rsid w:val="00CB1BBE"/>
    <w:rsid w:val="00CB65DB"/>
    <w:rsid w:val="00CB6BD9"/>
    <w:rsid w:val="00CC293A"/>
    <w:rsid w:val="00CE19F6"/>
    <w:rsid w:val="00CE3174"/>
    <w:rsid w:val="00CE6B76"/>
    <w:rsid w:val="00CF366B"/>
    <w:rsid w:val="00CF5D9D"/>
    <w:rsid w:val="00CF606C"/>
    <w:rsid w:val="00CF7423"/>
    <w:rsid w:val="00D001F5"/>
    <w:rsid w:val="00D03E80"/>
    <w:rsid w:val="00D1505F"/>
    <w:rsid w:val="00D15B9F"/>
    <w:rsid w:val="00D15DD6"/>
    <w:rsid w:val="00D25548"/>
    <w:rsid w:val="00D2601F"/>
    <w:rsid w:val="00D27759"/>
    <w:rsid w:val="00D30028"/>
    <w:rsid w:val="00D325D3"/>
    <w:rsid w:val="00D408D6"/>
    <w:rsid w:val="00D511DD"/>
    <w:rsid w:val="00D55C2A"/>
    <w:rsid w:val="00D571C1"/>
    <w:rsid w:val="00D602F4"/>
    <w:rsid w:val="00D60C9A"/>
    <w:rsid w:val="00D6457E"/>
    <w:rsid w:val="00D742E2"/>
    <w:rsid w:val="00D7580E"/>
    <w:rsid w:val="00D87DAF"/>
    <w:rsid w:val="00D9446D"/>
    <w:rsid w:val="00DA2127"/>
    <w:rsid w:val="00DA2994"/>
    <w:rsid w:val="00DB08E8"/>
    <w:rsid w:val="00DB0DED"/>
    <w:rsid w:val="00DB3073"/>
    <w:rsid w:val="00DB3BA9"/>
    <w:rsid w:val="00DB50FE"/>
    <w:rsid w:val="00DB5EDA"/>
    <w:rsid w:val="00DC2349"/>
    <w:rsid w:val="00DC3026"/>
    <w:rsid w:val="00DD1EDB"/>
    <w:rsid w:val="00DD57AA"/>
    <w:rsid w:val="00DE1578"/>
    <w:rsid w:val="00DE7F67"/>
    <w:rsid w:val="00DF0529"/>
    <w:rsid w:val="00DF09EF"/>
    <w:rsid w:val="00DF0D0F"/>
    <w:rsid w:val="00DF13D6"/>
    <w:rsid w:val="00DF27D6"/>
    <w:rsid w:val="00DF2BEA"/>
    <w:rsid w:val="00DF4488"/>
    <w:rsid w:val="00DF5B98"/>
    <w:rsid w:val="00DF6FA8"/>
    <w:rsid w:val="00DF701E"/>
    <w:rsid w:val="00DF7BE5"/>
    <w:rsid w:val="00E00D49"/>
    <w:rsid w:val="00E019A8"/>
    <w:rsid w:val="00E03A46"/>
    <w:rsid w:val="00E03C6D"/>
    <w:rsid w:val="00E0476F"/>
    <w:rsid w:val="00E04899"/>
    <w:rsid w:val="00E0796F"/>
    <w:rsid w:val="00E10948"/>
    <w:rsid w:val="00E24371"/>
    <w:rsid w:val="00E243AB"/>
    <w:rsid w:val="00E26641"/>
    <w:rsid w:val="00E2778F"/>
    <w:rsid w:val="00E33023"/>
    <w:rsid w:val="00E331F3"/>
    <w:rsid w:val="00E3498D"/>
    <w:rsid w:val="00E42425"/>
    <w:rsid w:val="00E43E55"/>
    <w:rsid w:val="00E4554E"/>
    <w:rsid w:val="00E46D22"/>
    <w:rsid w:val="00E4768F"/>
    <w:rsid w:val="00E53C0E"/>
    <w:rsid w:val="00E54F7E"/>
    <w:rsid w:val="00E560CE"/>
    <w:rsid w:val="00E5674E"/>
    <w:rsid w:val="00E63783"/>
    <w:rsid w:val="00E650E2"/>
    <w:rsid w:val="00E75CAD"/>
    <w:rsid w:val="00E76922"/>
    <w:rsid w:val="00E8595B"/>
    <w:rsid w:val="00E915EC"/>
    <w:rsid w:val="00EA11B1"/>
    <w:rsid w:val="00EA2224"/>
    <w:rsid w:val="00EA7194"/>
    <w:rsid w:val="00EB1329"/>
    <w:rsid w:val="00EB2987"/>
    <w:rsid w:val="00EB2D75"/>
    <w:rsid w:val="00EB34BE"/>
    <w:rsid w:val="00EB571A"/>
    <w:rsid w:val="00EC2804"/>
    <w:rsid w:val="00EC6117"/>
    <w:rsid w:val="00EC6138"/>
    <w:rsid w:val="00ED1DCF"/>
    <w:rsid w:val="00ED43C9"/>
    <w:rsid w:val="00EE2C60"/>
    <w:rsid w:val="00EE2E58"/>
    <w:rsid w:val="00EE487A"/>
    <w:rsid w:val="00EE734C"/>
    <w:rsid w:val="00EF6907"/>
    <w:rsid w:val="00EF6D91"/>
    <w:rsid w:val="00F01F54"/>
    <w:rsid w:val="00F04D4D"/>
    <w:rsid w:val="00F11DD8"/>
    <w:rsid w:val="00F12745"/>
    <w:rsid w:val="00F13766"/>
    <w:rsid w:val="00F20A77"/>
    <w:rsid w:val="00F22C60"/>
    <w:rsid w:val="00F231A4"/>
    <w:rsid w:val="00F23252"/>
    <w:rsid w:val="00F27B2A"/>
    <w:rsid w:val="00F31762"/>
    <w:rsid w:val="00F345D3"/>
    <w:rsid w:val="00F356ED"/>
    <w:rsid w:val="00F359B5"/>
    <w:rsid w:val="00F4144F"/>
    <w:rsid w:val="00F433F3"/>
    <w:rsid w:val="00F47F64"/>
    <w:rsid w:val="00F522D9"/>
    <w:rsid w:val="00F52F54"/>
    <w:rsid w:val="00F53584"/>
    <w:rsid w:val="00F61B24"/>
    <w:rsid w:val="00F62DE5"/>
    <w:rsid w:val="00F63F8A"/>
    <w:rsid w:val="00F6514E"/>
    <w:rsid w:val="00F703DC"/>
    <w:rsid w:val="00F71D06"/>
    <w:rsid w:val="00F73B46"/>
    <w:rsid w:val="00F73D01"/>
    <w:rsid w:val="00F7642B"/>
    <w:rsid w:val="00F76A43"/>
    <w:rsid w:val="00F80334"/>
    <w:rsid w:val="00F8139D"/>
    <w:rsid w:val="00F83DF9"/>
    <w:rsid w:val="00F85DA0"/>
    <w:rsid w:val="00F930AF"/>
    <w:rsid w:val="00F9352C"/>
    <w:rsid w:val="00F975B0"/>
    <w:rsid w:val="00FA15F1"/>
    <w:rsid w:val="00FA19F5"/>
    <w:rsid w:val="00FA3E71"/>
    <w:rsid w:val="00FA4A69"/>
    <w:rsid w:val="00FA649A"/>
    <w:rsid w:val="00FB1248"/>
    <w:rsid w:val="00FB208D"/>
    <w:rsid w:val="00FB3CF4"/>
    <w:rsid w:val="00FB4A27"/>
    <w:rsid w:val="00FB4A49"/>
    <w:rsid w:val="00FB69B3"/>
    <w:rsid w:val="00FC6FBE"/>
    <w:rsid w:val="00FD1162"/>
    <w:rsid w:val="00FD2232"/>
    <w:rsid w:val="00FD4AE7"/>
    <w:rsid w:val="00FD65A9"/>
    <w:rsid w:val="00FD7508"/>
    <w:rsid w:val="00FE1E51"/>
    <w:rsid w:val="00FE2496"/>
    <w:rsid w:val="00FE6A2B"/>
    <w:rsid w:val="00FF0275"/>
    <w:rsid w:val="00FF07B3"/>
    <w:rsid w:val="00FF1E37"/>
    <w:rsid w:val="079004AC"/>
    <w:rsid w:val="0BEB1BA9"/>
    <w:rsid w:val="0F8E2C57"/>
    <w:rsid w:val="0FFF9020"/>
    <w:rsid w:val="1059665E"/>
    <w:rsid w:val="10AC13BA"/>
    <w:rsid w:val="1AEC0734"/>
    <w:rsid w:val="1DEF20B0"/>
    <w:rsid w:val="1FFBAC8D"/>
    <w:rsid w:val="214243FA"/>
    <w:rsid w:val="257A14F5"/>
    <w:rsid w:val="27196C26"/>
    <w:rsid w:val="29EF086F"/>
    <w:rsid w:val="2EFFE297"/>
    <w:rsid w:val="301437CA"/>
    <w:rsid w:val="3CCA95D3"/>
    <w:rsid w:val="433E495C"/>
    <w:rsid w:val="4757BCFA"/>
    <w:rsid w:val="4A75B19F"/>
    <w:rsid w:val="4AC27CB3"/>
    <w:rsid w:val="4BED5777"/>
    <w:rsid w:val="4BF72BEF"/>
    <w:rsid w:val="4EF3B55E"/>
    <w:rsid w:val="51DB3C59"/>
    <w:rsid w:val="55762E42"/>
    <w:rsid w:val="57A7B272"/>
    <w:rsid w:val="58470068"/>
    <w:rsid w:val="5A1720F9"/>
    <w:rsid w:val="5B67562B"/>
    <w:rsid w:val="5B9C37C2"/>
    <w:rsid w:val="5BA7C654"/>
    <w:rsid w:val="60FBCBBB"/>
    <w:rsid w:val="64C0607C"/>
    <w:rsid w:val="676F09E1"/>
    <w:rsid w:val="67C3DA15"/>
    <w:rsid w:val="766BF3EC"/>
    <w:rsid w:val="76FBCE93"/>
    <w:rsid w:val="7A7F1C49"/>
    <w:rsid w:val="7B544CF5"/>
    <w:rsid w:val="7B5B7AE6"/>
    <w:rsid w:val="7BA7071E"/>
    <w:rsid w:val="7BDF6DA8"/>
    <w:rsid w:val="7C7EDC1A"/>
    <w:rsid w:val="7CCED98D"/>
    <w:rsid w:val="7CE718E2"/>
    <w:rsid w:val="7D08410F"/>
    <w:rsid w:val="7D4FD015"/>
    <w:rsid w:val="7D7DC20B"/>
    <w:rsid w:val="7DB96DED"/>
    <w:rsid w:val="7DD3AD81"/>
    <w:rsid w:val="7F3DD19D"/>
    <w:rsid w:val="7F7FE70F"/>
    <w:rsid w:val="7FD6B5FA"/>
    <w:rsid w:val="7FFBB7F5"/>
    <w:rsid w:val="7FFF3C2F"/>
    <w:rsid w:val="7FFF77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A1A9B"/>
  <w15:docId w15:val="{E8CCE776-1B43-4522-84A2-33F15F1F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Body Text Indent"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2">
    <w:name w:val="heading 2"/>
    <w:basedOn w:val="a"/>
    <w:next w:val="a"/>
    <w:qFormat/>
    <w:pPr>
      <w:keepNext/>
      <w:keepLines/>
      <w:spacing w:before="100" w:beforeAutospacing="1" w:after="100" w:afterAutospacing="1"/>
      <w:outlineLvl w:val="1"/>
    </w:pPr>
    <w:rPr>
      <w:rFonts w:ascii="Cambria" w:eastAsia="黑体" w:hAnsi="Cambria"/>
      <w:b/>
      <w:bCs/>
      <w:kern w:val="0"/>
      <w:sz w:val="36"/>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200"/>
    </w:pPr>
  </w:style>
  <w:style w:type="paragraph" w:styleId="a4">
    <w:name w:val="Body Text Indent"/>
    <w:basedOn w:val="a"/>
    <w:qFormat/>
    <w:pPr>
      <w:ind w:firstLine="645"/>
    </w:pPr>
    <w:rPr>
      <w:rFonts w:ascii="仿宋_GB2312" w:eastAsia="仿宋_GB2312" w:hAnsi="Calibri"/>
      <w:sz w:val="32"/>
      <w:szCs w:val="32"/>
    </w:rPr>
  </w:style>
  <w:style w:type="paragraph" w:styleId="a5">
    <w:name w:val="Date"/>
    <w:basedOn w:val="a"/>
    <w:next w:val="a"/>
    <w:qFormat/>
    <w:pPr>
      <w:ind w:leftChars="2500" w:left="100"/>
    </w:pPr>
  </w:style>
  <w:style w:type="paragraph" w:styleId="a6">
    <w:name w:val="Balloon Text"/>
    <w:basedOn w:val="a"/>
    <w:semiHidden/>
    <w:qFormat/>
    <w:rPr>
      <w:sz w:val="18"/>
      <w:szCs w:val="18"/>
    </w:rPr>
  </w:style>
  <w:style w:type="paragraph" w:styleId="a7">
    <w:name w:val="footer"/>
    <w:basedOn w:val="a"/>
    <w:link w:val="a8"/>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rFonts w:ascii="Calibri" w:hAnsi="Calibri"/>
      <w:sz w:val="18"/>
      <w:szCs w:val="18"/>
    </w:rPr>
  </w:style>
  <w:style w:type="paragraph" w:styleId="ab">
    <w:name w:val="Normal (Web)"/>
    <w:basedOn w:val="a"/>
    <w:unhideWhenUsed/>
    <w:qFormat/>
    <w:pPr>
      <w:spacing w:before="100" w:beforeAutospacing="1" w:after="100" w:afterAutospacing="1"/>
      <w:ind w:right="238"/>
      <w:jc w:val="left"/>
    </w:pPr>
    <w:rPr>
      <w:b/>
      <w:kern w:val="0"/>
      <w:sz w:val="24"/>
      <w:szCs w:val="20"/>
    </w:rPr>
  </w:style>
  <w:style w:type="character" w:styleId="ac">
    <w:name w:val="Strong"/>
    <w:qFormat/>
    <w:rPr>
      <w:b/>
    </w:rPr>
  </w:style>
  <w:style w:type="character" w:styleId="ad">
    <w:name w:val="page number"/>
    <w:qFormat/>
  </w:style>
  <w:style w:type="character" w:customStyle="1" w:styleId="a8">
    <w:name w:val="页脚 字符"/>
    <w:link w:val="a7"/>
    <w:qFormat/>
    <w:rPr>
      <w:rFonts w:eastAsia="宋体"/>
      <w:kern w:val="2"/>
      <w:sz w:val="18"/>
      <w:szCs w:val="18"/>
      <w:lang w:val="en-US" w:eastAsia="zh-CN" w:bidi="ar-SA"/>
    </w:rPr>
  </w:style>
  <w:style w:type="character" w:customStyle="1" w:styleId="aa">
    <w:name w:val="页眉 字符"/>
    <w:link w:val="a9"/>
    <w:qFormat/>
    <w:rPr>
      <w:rFonts w:ascii="Calibri" w:eastAsia="宋体" w:hAnsi="Calibri"/>
      <w:kern w:val="2"/>
      <w:sz w:val="18"/>
      <w:szCs w:val="18"/>
      <w:lang w:val="en-US" w:eastAsia="zh-CN" w:bidi="ar-SA"/>
    </w:rPr>
  </w:style>
  <w:style w:type="paragraph" w:customStyle="1" w:styleId="CharCharCharCharCharCharChar">
    <w:name w:val="Char Char Char Char Char Char Char"/>
    <w:basedOn w:val="a"/>
    <w:qFormat/>
    <w:rPr>
      <w:rFonts w:ascii="Tahoma" w:hAnsi="Tahoma"/>
      <w:sz w:val="24"/>
      <w:szCs w:val="20"/>
    </w:rPr>
  </w:style>
  <w:style w:type="paragraph" w:customStyle="1" w:styleId="Char1CharCharChar">
    <w:name w:val="Char1 Char Char Char"/>
    <w:basedOn w:val="a"/>
    <w:qFormat/>
    <w:pPr>
      <w:widowControl/>
      <w:spacing w:after="160" w:line="240" w:lineRule="exact"/>
      <w:jc w:val="left"/>
    </w:pPr>
    <w:rPr>
      <w:szCs w:val="20"/>
    </w:rPr>
  </w:style>
  <w:style w:type="paragraph" w:customStyle="1" w:styleId="Char">
    <w:name w:val="Char"/>
    <w:basedOn w:val="a"/>
    <w:qFormat/>
    <w:rPr>
      <w:rFonts w:ascii="Tahoma" w:hAnsi="Tahoma"/>
      <w:sz w:val="24"/>
      <w:szCs w:val="20"/>
    </w:rPr>
  </w:style>
  <w:style w:type="paragraph" w:customStyle="1" w:styleId="CharChar3CharChar">
    <w:name w:val="Char Char3 Char Char"/>
    <w:basedOn w:val="a"/>
    <w:qFormat/>
    <w:rPr>
      <w:szCs w:val="21"/>
    </w:rPr>
  </w:style>
  <w:style w:type="paragraph" w:customStyle="1" w:styleId="1">
    <w:name w:val="修订1"/>
    <w:hidden/>
    <w:uiPriority w:val="99"/>
    <w:unhideWhenUsed/>
    <w:qFormat/>
    <w:rPr>
      <w:kern w:val="2"/>
      <w:sz w:val="21"/>
      <w:szCs w:val="24"/>
    </w:rPr>
  </w:style>
  <w:style w:type="paragraph" w:styleId="ae">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收入决算</a:t>
            </a:r>
            <a:endParaRPr lang="en-US" sz="1100"/>
          </a:p>
        </c:rich>
      </c:tx>
      <c:overlay val="0"/>
      <c:spPr>
        <a:noFill/>
        <a:ln>
          <a:noFill/>
        </a:ln>
        <a:effectLst/>
      </c:spPr>
    </c:title>
    <c:autoTitleDeleted val="0"/>
    <c:plotArea>
      <c:layout/>
      <c:pieChart>
        <c:varyColors val="1"/>
        <c:ser>
          <c:idx val="0"/>
          <c:order val="0"/>
          <c:tx>
            <c:strRef>
              <c:f>Sheet1!$B$1</c:f>
              <c:strCache>
                <c:ptCount val="1"/>
                <c:pt idx="0">
                  <c:v>收入</c:v>
                </c:pt>
              </c:strCache>
            </c:strRef>
          </c:tx>
          <c:dPt>
            <c:idx val="0"/>
            <c:bubble3D val="0"/>
            <c:spPr>
              <a:solidFill>
                <a:schemeClr val="accent1"/>
              </a:solidFill>
              <a:ln>
                <a:solidFill>
                  <a:schemeClr val="bg1"/>
                </a:solidFill>
              </a:ln>
              <a:effectLst/>
            </c:spPr>
            <c:extLst>
              <c:ext xmlns:c16="http://schemas.microsoft.com/office/drawing/2014/chart" uri="{C3380CC4-5D6E-409C-BE32-E72D297353CC}">
                <c16:uniqueId val="{00000001-C78C-4203-B17B-E32BCD39BFEE}"/>
              </c:ext>
            </c:extLst>
          </c:dPt>
          <c:dPt>
            <c:idx val="1"/>
            <c:bubble3D val="0"/>
            <c:spPr>
              <a:solidFill>
                <a:schemeClr val="accent2"/>
              </a:solidFill>
              <a:ln>
                <a:solidFill>
                  <a:schemeClr val="bg1"/>
                </a:solidFill>
              </a:ln>
              <a:effectLst/>
            </c:spPr>
            <c:extLst>
              <c:ext xmlns:c16="http://schemas.microsoft.com/office/drawing/2014/chart" uri="{C3380CC4-5D6E-409C-BE32-E72D297353CC}">
                <c16:uniqueId val="{00000003-C78C-4203-B17B-E32BCD39BFEE}"/>
              </c:ext>
            </c:extLst>
          </c:dPt>
          <c:dPt>
            <c:idx val="2"/>
            <c:bubble3D val="0"/>
            <c:spPr>
              <a:solidFill>
                <a:schemeClr val="accent3"/>
              </a:solidFill>
              <a:ln>
                <a:solidFill>
                  <a:schemeClr val="bg1"/>
                </a:solidFill>
              </a:ln>
              <a:effectLst/>
            </c:spPr>
            <c:extLst>
              <c:ext xmlns:c16="http://schemas.microsoft.com/office/drawing/2014/chart" uri="{C3380CC4-5D6E-409C-BE32-E72D297353CC}">
                <c16:uniqueId val="{00000005-C78C-4203-B17B-E32BCD39BFEE}"/>
              </c:ext>
            </c:extLst>
          </c:dPt>
          <c:dPt>
            <c:idx val="3"/>
            <c:bubble3D val="0"/>
            <c:spPr>
              <a:solidFill>
                <a:schemeClr val="accent4"/>
              </a:solidFill>
              <a:ln>
                <a:solidFill>
                  <a:schemeClr val="bg1"/>
                </a:solidFill>
              </a:ln>
              <a:effectLst/>
            </c:spPr>
            <c:extLst>
              <c:ext xmlns:c16="http://schemas.microsoft.com/office/drawing/2014/chart" uri="{C3380CC4-5D6E-409C-BE32-E72D297353CC}">
                <c16:uniqueId val="{00000007-C78C-4203-B17B-E32BCD39BFEE}"/>
              </c:ext>
            </c:extLst>
          </c:dPt>
          <c:dPt>
            <c:idx val="4"/>
            <c:bubble3D val="0"/>
            <c:spPr>
              <a:solidFill>
                <a:schemeClr val="accent5"/>
              </a:solidFill>
              <a:ln>
                <a:solidFill>
                  <a:schemeClr val="bg1"/>
                </a:solidFill>
              </a:ln>
              <a:effectLst/>
            </c:spPr>
            <c:extLst>
              <c:ext xmlns:c16="http://schemas.microsoft.com/office/drawing/2014/chart" uri="{C3380CC4-5D6E-409C-BE32-E72D297353CC}">
                <c16:uniqueId val="{00000009-C78C-4203-B17B-E32BCD39BFEE}"/>
              </c:ext>
            </c:extLst>
          </c:dPt>
          <c:dPt>
            <c:idx val="5"/>
            <c:bubble3D val="0"/>
            <c:spPr>
              <a:solidFill>
                <a:schemeClr val="accent6"/>
              </a:solidFill>
              <a:ln>
                <a:solidFill>
                  <a:schemeClr val="bg1"/>
                </a:solidFill>
              </a:ln>
              <a:effectLst/>
            </c:spPr>
            <c:extLst>
              <c:ext xmlns:c16="http://schemas.microsoft.com/office/drawing/2014/chart" uri="{C3380CC4-5D6E-409C-BE32-E72D297353CC}">
                <c16:uniqueId val="{0000000B-C78C-4203-B17B-E32BCD39BFEE}"/>
              </c:ext>
            </c:extLst>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endParaRPr lang="zh-CN"/>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prstDash val="solid"/>
                  <a:round/>
                </a:ln>
                <a:effectLst/>
              </c:spPr>
            </c:leaderLines>
            <c:extLst>
              <c:ext xmlns:c15="http://schemas.microsoft.com/office/drawing/2012/chart" uri="{CE6537A1-D6FC-4f65-9D91-7224C49458BB}"/>
            </c:extLst>
          </c:dLbls>
          <c:cat>
            <c:strRef>
              <c:f>Sheet1!$A$2:$A$7</c:f>
              <c:strCache>
                <c:ptCount val="6"/>
                <c:pt idx="0">
                  <c:v>财政拨款收入</c:v>
                </c:pt>
                <c:pt idx="1">
                  <c:v>上级补助收入</c:v>
                </c:pt>
                <c:pt idx="2">
                  <c:v>事业收入</c:v>
                </c:pt>
                <c:pt idx="3">
                  <c:v>经营收入</c:v>
                </c:pt>
                <c:pt idx="4">
                  <c:v>附属单位上缴</c:v>
                </c:pt>
                <c:pt idx="5">
                  <c:v>其他收入</c:v>
                </c:pt>
              </c:strCache>
            </c:strRef>
          </c:cat>
          <c:val>
            <c:numRef>
              <c:f>Sheet1!$B$2:$B$7</c:f>
              <c:numCache>
                <c:formatCode>General</c:formatCode>
                <c:ptCount val="6"/>
                <c:pt idx="0">
                  <c:v>5358.75</c:v>
                </c:pt>
                <c:pt idx="1">
                  <c:v>0</c:v>
                </c:pt>
                <c:pt idx="2">
                  <c:v>0</c:v>
                </c:pt>
                <c:pt idx="3">
                  <c:v>0</c:v>
                </c:pt>
                <c:pt idx="4">
                  <c:v>0</c:v>
                </c:pt>
              </c:numCache>
            </c:numRef>
          </c:val>
          <c:extLst>
            <c:ext xmlns:c16="http://schemas.microsoft.com/office/drawing/2014/chart" uri="{C3380CC4-5D6E-409C-BE32-E72D297353CC}">
              <c16:uniqueId val="{0000000C-C78C-4203-B17B-E32BCD39BFEE}"/>
            </c:ext>
          </c:extLst>
        </c:ser>
        <c:dLbls>
          <c:showLegendKey val="0"/>
          <c:showVal val="0"/>
          <c:showCatName val="0"/>
          <c:showSerName val="0"/>
          <c:showPercent val="1"/>
          <c:showBubbleSize val="0"/>
          <c:showLeaderLines val="1"/>
        </c:dLbls>
        <c:firstSliceAng val="0"/>
      </c:pieChart>
      <c:spPr>
        <a:noFill/>
        <a:ln>
          <a:noFill/>
        </a:ln>
        <a:effectLst/>
      </c:spPr>
    </c:plotArea>
    <c:legend>
      <c:legendPos val="r"/>
      <c:legendEntry>
        <c:idx val="0"/>
        <c:txPr>
          <a:bodyPr rot="0" spcFirstLastPara="0" vertOverflow="ellipsis" vert="horz" wrap="square" anchor="ctr" anchorCtr="1"/>
          <a:lstStyle/>
          <a:p>
            <a:pPr>
              <a:defRPr lang="zh-CN" sz="900" b="0" i="0" u="none" strike="noStrike" kern="1200" baseline="0">
                <a:solidFill>
                  <a:schemeClr val="bg1">
                    <a:lumMod val="50000"/>
                  </a:schemeClr>
                </a:solidFill>
                <a:latin typeface="+mn-lt"/>
                <a:ea typeface="+mn-ea"/>
                <a:cs typeface="+mn-cs"/>
              </a:defRPr>
            </a:pPr>
            <a:endParaRPr lang="zh-CN"/>
          </a:p>
        </c:txPr>
      </c:legendEntry>
      <c:legendEntry>
        <c:idx val="1"/>
        <c:txPr>
          <a:bodyPr rot="0" spcFirstLastPara="0" vertOverflow="ellipsis" vert="horz" wrap="square" anchor="ctr" anchorCtr="1"/>
          <a:lstStyle/>
          <a:p>
            <a:pPr>
              <a:defRPr lang="zh-CN" sz="900" b="0" i="0" u="none" strike="noStrike" kern="1200" baseline="0">
                <a:solidFill>
                  <a:schemeClr val="bg1">
                    <a:lumMod val="50000"/>
                  </a:schemeClr>
                </a:solidFill>
                <a:latin typeface="+mn-lt"/>
                <a:ea typeface="+mn-ea"/>
                <a:cs typeface="+mn-cs"/>
              </a:defRPr>
            </a:pPr>
            <a:endParaRPr lang="zh-CN"/>
          </a:p>
        </c:txPr>
      </c:legendEntry>
      <c:legendEntry>
        <c:idx val="2"/>
        <c:txPr>
          <a:bodyPr rot="0" spcFirstLastPara="0" vertOverflow="ellipsis" vert="horz" wrap="square" anchor="ctr" anchorCtr="1"/>
          <a:lstStyle/>
          <a:p>
            <a:pPr>
              <a:defRPr lang="zh-CN" sz="900" b="0" i="0" u="none" strike="noStrike" kern="1200" baseline="0">
                <a:solidFill>
                  <a:schemeClr val="bg1">
                    <a:lumMod val="50000"/>
                  </a:schemeClr>
                </a:solidFill>
                <a:latin typeface="+mn-lt"/>
                <a:ea typeface="+mn-ea"/>
                <a:cs typeface="+mn-cs"/>
              </a:defRPr>
            </a:pPr>
            <a:endParaRPr lang="zh-CN"/>
          </a:p>
        </c:txPr>
      </c:legendEntry>
      <c:legendEntry>
        <c:idx val="3"/>
        <c:txPr>
          <a:bodyPr rot="0" spcFirstLastPara="0" vertOverflow="ellipsis" vert="horz" wrap="square" anchor="ctr" anchorCtr="1"/>
          <a:lstStyle/>
          <a:p>
            <a:pPr>
              <a:defRPr lang="zh-CN" sz="900" b="0" i="0" u="none" strike="noStrike" kern="1200" baseline="0">
                <a:solidFill>
                  <a:schemeClr val="bg1">
                    <a:lumMod val="50000"/>
                  </a:schemeClr>
                </a:solidFill>
                <a:latin typeface="+mn-lt"/>
                <a:ea typeface="+mn-ea"/>
                <a:cs typeface="+mn-cs"/>
              </a:defRPr>
            </a:pPr>
            <a:endParaRPr lang="zh-CN"/>
          </a:p>
        </c:txPr>
      </c:legendEntry>
      <c:legendEntry>
        <c:idx val="4"/>
        <c:txPr>
          <a:bodyPr rot="0" spcFirstLastPara="0" vertOverflow="ellipsis" vert="horz" wrap="square" anchor="ctr" anchorCtr="1"/>
          <a:lstStyle/>
          <a:p>
            <a:pPr>
              <a:defRPr lang="zh-CN" sz="900" b="0" i="0" u="none" strike="noStrike" kern="1200" baseline="0">
                <a:solidFill>
                  <a:schemeClr val="bg1">
                    <a:lumMod val="50000"/>
                  </a:schemeClr>
                </a:solidFill>
                <a:latin typeface="+mn-lt"/>
                <a:ea typeface="+mn-ea"/>
                <a:cs typeface="+mn-cs"/>
              </a:defRPr>
            </a:pPr>
            <a:endParaRPr lang="zh-CN"/>
          </a:p>
        </c:txPr>
      </c:legendEntry>
      <c:legendEntry>
        <c:idx val="5"/>
        <c:txPr>
          <a:bodyPr rot="0" spcFirstLastPara="0" vertOverflow="ellipsis" vert="horz" wrap="square" anchor="ctr" anchorCtr="1"/>
          <a:lstStyle/>
          <a:p>
            <a:pPr>
              <a:defRPr lang="zh-CN" sz="900" b="0" i="0" u="none" strike="noStrike" kern="1200" baseline="0">
                <a:solidFill>
                  <a:schemeClr val="bg1">
                    <a:lumMod val="50000"/>
                  </a:schemeClr>
                </a:solidFill>
                <a:latin typeface="+mn-lt"/>
                <a:ea typeface="+mn-ea"/>
                <a:cs typeface="+mn-cs"/>
              </a:defRPr>
            </a:pPr>
            <a:endParaRPr lang="zh-CN"/>
          </a:p>
        </c:txPr>
      </c:legendEntry>
      <c:overlay val="0"/>
      <c:spPr>
        <a:noFill/>
        <a:ln>
          <a:noFill/>
        </a:ln>
        <a:effectLst/>
      </c:spPr>
      <c:txPr>
        <a:bodyPr rot="0" spcFirstLastPara="0" vertOverflow="ellipsis" vert="horz" wrap="square" anchor="ctr" anchorCtr="1"/>
        <a:lstStyle/>
        <a:p>
          <a:pPr>
            <a:defRPr lang="zh-CN" sz="900" b="0" i="0" u="none" strike="noStrike" kern="1200" baseline="0">
              <a:solidFill>
                <a:schemeClr val="bg1">
                  <a:lumMod val="50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bg1">
                    <a:lumMod val="50000"/>
                  </a:schemeClr>
                </a:solidFill>
                <a:latin typeface="+mn-lt"/>
                <a:ea typeface="+mn-ea"/>
                <a:cs typeface="+mn-cs"/>
              </a:defRPr>
            </a:pPr>
            <a:r>
              <a:rPr lang="zh-CN" altLang="en-US">
                <a:solidFill>
                  <a:schemeClr val="bg1">
                    <a:lumMod val="50000"/>
                  </a:schemeClr>
                </a:solidFill>
              </a:rPr>
              <a:t>支出决算</a:t>
            </a:r>
          </a:p>
        </c:rich>
      </c:tx>
      <c:overlay val="0"/>
      <c:spPr>
        <a:noFill/>
        <a:ln>
          <a:noFill/>
        </a:ln>
        <a:effectLst/>
      </c:spPr>
      <c:txPr>
        <a:bodyPr rot="0" spcFirstLastPara="0" vertOverflow="ellipsis" vert="horz" wrap="square" anchor="ctr" anchorCtr="1"/>
        <a:lstStyle/>
        <a:p>
          <a:pPr defTabSz="914400">
            <a:defRPr lang="zh-CN" sz="1400" b="0" i="0" u="none" strike="noStrike" kern="1200" spc="0" baseline="0">
              <a:solidFill>
                <a:schemeClr val="bg1">
                  <a:lumMod val="50000"/>
                </a:schemeClr>
              </a:solidFill>
              <a:latin typeface="+mn-lt"/>
              <a:ea typeface="+mn-ea"/>
              <a:cs typeface="+mn-cs"/>
            </a:defRPr>
          </a:pPr>
          <a:endParaRPr lang="zh-CN"/>
        </a:p>
      </c:txPr>
    </c:title>
    <c:autoTitleDeleted val="0"/>
    <c:plotArea>
      <c:layout/>
      <c:pieChart>
        <c:varyColors val="1"/>
        <c:ser>
          <c:idx val="0"/>
          <c:order val="0"/>
          <c:tx>
            <c:strRef>
              <c:f>Sheet0!$B$1</c:f>
              <c:strCache>
                <c:ptCount val="1"/>
                <c:pt idx="0">
                  <c:v>支出</c:v>
                </c:pt>
              </c:strCache>
            </c:strRef>
          </c:tx>
          <c:dPt>
            <c:idx val="0"/>
            <c:bubble3D val="0"/>
            <c:spPr>
              <a:solidFill>
                <a:srgbClr val="4F81BD"/>
              </a:solidFill>
              <a:ln w="19050">
                <a:solidFill>
                  <a:srgbClr val="FFFFFF"/>
                </a:solidFill>
              </a:ln>
              <a:effectLst/>
            </c:spPr>
            <c:extLst>
              <c:ext xmlns:c16="http://schemas.microsoft.com/office/drawing/2014/chart" uri="{C3380CC4-5D6E-409C-BE32-E72D297353CC}">
                <c16:uniqueId val="{00000001-7B98-467D-A031-92A53C5C77DF}"/>
              </c:ext>
            </c:extLst>
          </c:dPt>
          <c:dPt>
            <c:idx val="1"/>
            <c:bubble3D val="0"/>
            <c:spPr>
              <a:solidFill>
                <a:srgbClr val="C0504D"/>
              </a:solidFill>
              <a:ln w="19050">
                <a:solidFill>
                  <a:srgbClr val="FFFFFF"/>
                </a:solidFill>
              </a:ln>
              <a:effectLst/>
            </c:spPr>
            <c:extLst>
              <c:ext xmlns:c16="http://schemas.microsoft.com/office/drawing/2014/chart" uri="{C3380CC4-5D6E-409C-BE32-E72D297353CC}">
                <c16:uniqueId val="{00000003-7B98-467D-A031-92A53C5C77DF}"/>
              </c:ext>
            </c:extLst>
          </c:dPt>
          <c:dPt>
            <c:idx val="2"/>
            <c:bubble3D val="0"/>
            <c:spPr>
              <a:solidFill>
                <a:srgbClr val="9BBB59"/>
              </a:solidFill>
              <a:ln w="19050">
                <a:solidFill>
                  <a:srgbClr val="FFFFFF"/>
                </a:solidFill>
              </a:ln>
              <a:effectLst/>
            </c:spPr>
            <c:extLst>
              <c:ext xmlns:c16="http://schemas.microsoft.com/office/drawing/2014/chart" uri="{C3380CC4-5D6E-409C-BE32-E72D297353CC}">
                <c16:uniqueId val="{00000005-7B98-467D-A031-92A53C5C77DF}"/>
              </c:ext>
            </c:extLst>
          </c:dPt>
          <c:dPt>
            <c:idx val="3"/>
            <c:bubble3D val="0"/>
            <c:spPr>
              <a:solidFill>
                <a:srgbClr val="8064A2"/>
              </a:solidFill>
              <a:ln w="19050">
                <a:solidFill>
                  <a:srgbClr val="FFFFFF"/>
                </a:solidFill>
              </a:ln>
              <a:effectLst/>
            </c:spPr>
            <c:extLst>
              <c:ext xmlns:c16="http://schemas.microsoft.com/office/drawing/2014/chart" uri="{C3380CC4-5D6E-409C-BE32-E72D297353CC}">
                <c16:uniqueId val="{00000007-7B98-467D-A031-92A53C5C77DF}"/>
              </c:ext>
            </c:extLst>
          </c:dPt>
          <c:dPt>
            <c:idx val="4"/>
            <c:bubble3D val="0"/>
            <c:spPr>
              <a:solidFill>
                <a:srgbClr val="4BACC6"/>
              </a:solidFill>
              <a:ln w="19050">
                <a:solidFill>
                  <a:srgbClr val="FFFFFF"/>
                </a:solidFill>
              </a:ln>
              <a:effectLst/>
            </c:spPr>
            <c:extLst>
              <c:ext xmlns:c16="http://schemas.microsoft.com/office/drawing/2014/chart" uri="{C3380CC4-5D6E-409C-BE32-E72D297353CC}">
                <c16:uniqueId val="{00000009-7B98-467D-A031-92A53C5C77DF}"/>
              </c:ext>
            </c:extLst>
          </c:dPt>
          <c:dLbls>
            <c:dLbl>
              <c:idx val="2"/>
              <c:layout>
                <c:manualLayout>
                  <c:x val="-3.9003729401150003E-2"/>
                  <c:y val="3.282714361078779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7B98-467D-A031-92A53C5C77DF}"/>
                </c:ext>
              </c:extLst>
            </c:dLbl>
            <c:dLbl>
              <c:idx val="4"/>
              <c:layout>
                <c:manualLayout>
                  <c:x val="3.8988769358610197E-2"/>
                  <c:y val="1.0511229510062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7B98-467D-A031-92A53C5C77DF}"/>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endParaRPr lang="zh-CN"/>
              </a:p>
            </c:txPr>
            <c:dLblPos val="bestFit"/>
            <c:showLegendKey val="0"/>
            <c:showVal val="0"/>
            <c:showCatName val="0"/>
            <c:showSerName val="0"/>
            <c:showPercent val="1"/>
            <c:showBubbleSize val="0"/>
            <c:showLeaderLines val="1"/>
            <c:leaderLines>
              <c:spPr>
                <a:ln w="9525" cap="flat" cmpd="sng" algn="ctr">
                  <a:solidFill>
                    <a:srgbClr val="A6A6A6">
                      <a:lumMod val="35000"/>
                      <a:lumOff val="65000"/>
                    </a:srgbClr>
                  </a:solidFill>
                  <a:round/>
                </a:ln>
                <a:effectLst/>
              </c:spPr>
            </c:leaderLines>
            <c:extLst>
              <c:ext xmlns:c15="http://schemas.microsoft.com/office/drawing/2012/chart" uri="{CE6537A1-D6FC-4f65-9D91-7224C49458BB}"/>
            </c:extLst>
          </c:dLbls>
          <c:cat>
            <c:strRef>
              <c:f>Sheet0!$A$2:$A$6</c:f>
              <c:strCache>
                <c:ptCount val="5"/>
                <c:pt idx="0">
                  <c:v>基本支出</c:v>
                </c:pt>
                <c:pt idx="1">
                  <c:v>项目支出</c:v>
                </c:pt>
                <c:pt idx="2">
                  <c:v>上缴上级支出</c:v>
                </c:pt>
                <c:pt idx="3">
                  <c:v>经营支出</c:v>
                </c:pt>
                <c:pt idx="4">
                  <c:v>对附属单位补助支出</c:v>
                </c:pt>
              </c:strCache>
            </c:strRef>
          </c:cat>
          <c:val>
            <c:numRef>
              <c:f>Sheet0!$B$2:$B$6</c:f>
              <c:numCache>
                <c:formatCode>General</c:formatCode>
                <c:ptCount val="5"/>
                <c:pt idx="0">
                  <c:v>3127.47</c:v>
                </c:pt>
                <c:pt idx="1">
                  <c:v>1960.09</c:v>
                </c:pt>
                <c:pt idx="2">
                  <c:v>0</c:v>
                </c:pt>
                <c:pt idx="3">
                  <c:v>0</c:v>
                </c:pt>
                <c:pt idx="4">
                  <c:v>0</c:v>
                </c:pt>
              </c:numCache>
            </c:numRef>
          </c:val>
          <c:extLst>
            <c:ext xmlns:c16="http://schemas.microsoft.com/office/drawing/2014/chart" uri="{C3380CC4-5D6E-409C-BE32-E72D297353CC}">
              <c16:uniqueId val="{0000000A-7B98-467D-A031-92A53C5C77DF}"/>
            </c:ext>
          </c:extLst>
        </c:ser>
        <c:dLbls>
          <c:showLegendKey val="0"/>
          <c:showVal val="0"/>
          <c:showCatName val="0"/>
          <c:showSerName val="0"/>
          <c:showPercent val="1"/>
          <c:showBubbleSize val="0"/>
          <c:showLeaderLines val="1"/>
        </c:dLbls>
        <c:firstSliceAng val="0"/>
      </c:pieChart>
      <c:spPr>
        <a:noFill/>
        <a:ln>
          <a:noFill/>
        </a:ln>
        <a:effectLst/>
      </c:spPr>
    </c:plotArea>
    <c:legend>
      <c:legendPos val="b"/>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endParaRPr lang="zh-CN"/>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9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spPr>
      <a:ln w="19050">
        <a:solidFill>
          <a:srgbClr val="FFFFFF"/>
        </a:solidFill>
      </a:ln>
    </cs:spPr>
  </cs:dataPoint>
  <cs:dataPoint3D>
    <cs:lnRef idx="0"/>
    <cs:fillRef idx="1">
      <cs:styleClr val="auto"/>
    </cs:fillRef>
    <cs:effectRef idx="0"/>
    <cs:fontRef idx="minor">
      <a:srgbClr val="000000"/>
    </cs:fontRef>
    <cs:spPr>
      <a:ln w="25400">
        <a:solidFill>
          <a:srgbClr val="FFFFFF"/>
        </a:solidFill>
      </a:ln>
    </cs:spPr>
  </cs:dataPoint3D>
  <cs:dataPointLine>
    <cs:lnRef idx="0">
      <cs:styleClr val="auto"/>
    </cs:lnRef>
    <cs:fillRef idx="0"/>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404040">
          <a:lumMod val="75000"/>
          <a:lumOff val="25000"/>
        </a:srgbClr>
      </a:solidFill>
      <a:ln w="9525" cap="flat" cmpd="sng" algn="ctr">
        <a:solidFill>
          <a:srgbClr val="595959">
            <a:lumMod val="65000"/>
            <a:lumOff val="35000"/>
          </a:srgbClr>
        </a:solidFill>
        <a:round/>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808080">
            <a:lumMod val="50000"/>
            <a:lumOff val="50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cap="flat" cmpd="sng" algn="ctr">
        <a:solidFill>
          <a:srgbClr val="595959">
            <a:lumMod val="65000"/>
            <a:lumOff val="35000"/>
          </a:srgbClr>
        </a:solidFill>
        <a:round/>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13</Pages>
  <Words>670</Words>
  <Characters>3824</Characters>
  <Application>Microsoft Office Word</Application>
  <DocSecurity>0</DocSecurity>
  <Lines>31</Lines>
  <Paragraphs>8</Paragraphs>
  <ScaleCrop>false</ScaleCrop>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北京市财政局关于做好向市人大常委会报送2015年度市级部门决算（草案）</dc:title>
  <dc:creator>常程</dc:creator>
  <cp:lastModifiedBy>li cao</cp:lastModifiedBy>
  <cp:revision>35</cp:revision>
  <cp:lastPrinted>2020-08-12T03:39:00Z</cp:lastPrinted>
  <dcterms:created xsi:type="dcterms:W3CDTF">2017-07-16T07:16:00Z</dcterms:created>
  <dcterms:modified xsi:type="dcterms:W3CDTF">2024-08-22T09:20:00Z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C53E0049DD7D4F56A956C4A3BA3D12CC_13</vt:lpwstr>
  </property>
</Properties>
</file>